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0000"/>
          <w:sz w:val="28"/>
        </w:rPr>
        <w:t>PHÂN LOẠI VÀ SỬA BIÊN BẢN SPRINT RETROSPECTIVE</w:t>
      </w:r>
    </w:p>
    <w:p>
      <w:pPr>
        <w:jc w:val="center"/>
      </w:pPr>
      <w:r>
        <w:rPr>
          <w:i/>
          <w:sz w:val="20"/>
        </w:rPr>
        <w:t>RikkeiAssist – Sprint 11</w:t>
      </w:r>
    </w:p>
    <w:p>
      <w:pPr>
        <w:pStyle w:val="Heading1"/>
      </w:pPr>
      <w:r>
        <w:t>Phần 1 – Phân loại ý kiến</w:t>
      </w:r>
    </w:p>
    <w:tbl>
      <w:tblPr>
        <w:tblStyle w:val="TableGrid"/>
        <w:tblW w:type="auto" w:w="0"/>
        <w:jc w:val="center"/>
        <w:tblLook w:firstColumn="1" w:firstRow="1" w:lastColumn="0" w:lastRow="0" w:noHBand="0" w:noVBand="1" w:val="04A0"/>
      </w:tblPr>
      <w:tblGrid>
        <w:gridCol w:w="3504"/>
        <w:gridCol w:w="3504"/>
        <w:gridCol w:w="3504"/>
      </w:tblGrid>
      <w:tr>
        <w:tc>
          <w:tcPr>
            <w:tcW w:type="dxa" w:w="792"/>
            <w:vAlign w:val="center"/>
            <w:shd w:fill="D9D9D9"/>
          </w:tcPr>
          <w:p>
            <w:pPr>
              <w:spacing w:after="0" w:before="0" w:line="240" w:lineRule="auto"/>
            </w:pPr>
            <w:r/>
            <w:r>
              <w:rPr>
                <w:rFonts w:ascii="Arial" w:hAnsi="Arial" w:eastAsia="Arial"/>
                <w:b/>
                <w:color w:val="000000"/>
                <w:sz w:val="15"/>
              </w:rPr>
              <w:t>Mã</w:t>
            </w:r>
          </w:p>
        </w:tc>
        <w:tc>
          <w:tcPr>
            <w:tcW w:type="dxa" w:w="1800"/>
            <w:vAlign w:val="center"/>
            <w:shd w:fill="D9D9D9"/>
          </w:tcPr>
          <w:p>
            <w:pPr>
              <w:spacing w:after="0" w:before="0" w:line="240" w:lineRule="auto"/>
            </w:pPr>
            <w:r/>
            <w:r>
              <w:rPr>
                <w:rFonts w:ascii="Arial" w:hAnsi="Arial" w:eastAsia="Arial"/>
                <w:b/>
                <w:color w:val="000000"/>
                <w:sz w:val="15"/>
              </w:rPr>
              <w:t>Phân loại</w:t>
            </w:r>
          </w:p>
        </w:tc>
        <w:tc>
          <w:tcPr>
            <w:tcW w:type="dxa" w:w="8064"/>
            <w:vAlign w:val="center"/>
            <w:shd w:fill="D9D9D9"/>
          </w:tcPr>
          <w:p>
            <w:pPr>
              <w:spacing w:after="0" w:before="0" w:line="240" w:lineRule="auto"/>
            </w:pPr>
            <w:r/>
            <w:r>
              <w:rPr>
                <w:rFonts w:ascii="Arial" w:hAnsi="Arial" w:eastAsia="Arial"/>
                <w:b/>
                <w:color w:val="000000"/>
                <w:sz w:val="15"/>
              </w:rPr>
              <w:t>Cách xử lý</w:t>
            </w:r>
          </w:p>
        </w:tc>
      </w:tr>
      <w:tr>
        <w:tc>
          <w:tcPr>
            <w:tcW w:type="dxa" w:w="792"/>
            <w:vAlign w:val="center"/>
          </w:tcPr>
          <w:p>
            <w:pPr>
              <w:spacing w:after="0" w:before="0" w:line="240" w:lineRule="auto"/>
            </w:pPr>
            <w:r/>
            <w:r>
              <w:rPr>
                <w:rFonts w:ascii="Arial" w:hAnsi="Arial" w:eastAsia="Arial"/>
                <w:b w:val="0"/>
                <w:color w:val="000000"/>
                <w:sz w:val="15"/>
              </w:rPr>
              <w:t>R-01</w:t>
            </w:r>
          </w:p>
        </w:tc>
        <w:tc>
          <w:tcPr>
            <w:tcW w:type="dxa" w:w="1800"/>
            <w:vAlign w:val="center"/>
          </w:tcPr>
          <w:p>
            <w:pPr>
              <w:spacing w:after="0" w:before="0" w:line="240" w:lineRule="auto"/>
            </w:pPr>
            <w:r/>
            <w:r>
              <w:rPr>
                <w:rFonts w:ascii="Arial" w:hAnsi="Arial" w:eastAsia="Arial"/>
                <w:b w:val="0"/>
                <w:color w:val="000000"/>
                <w:sz w:val="15"/>
              </w:rPr>
              <w:t>Phản hồi sản phẩm</w:t>
            </w:r>
          </w:p>
        </w:tc>
        <w:tc>
          <w:tcPr>
            <w:tcW w:type="dxa" w:w="8064"/>
            <w:vAlign w:val="center"/>
          </w:tcPr>
          <w:p>
            <w:pPr>
              <w:spacing w:after="0" w:before="0" w:line="240" w:lineRule="auto"/>
            </w:pPr>
            <w:r/>
            <w:r>
              <w:rPr>
                <w:rFonts w:ascii="Arial" w:hAnsi="Arial" w:eastAsia="Arial"/>
                <w:b w:val="0"/>
                <w:color w:val="000000"/>
                <w:sz w:val="15"/>
              </w:rPr>
              <w:t>Chuyển sang Product Backlog để Product Owner và Stakeholders xem xét ưu tiên tính năng tự hủy đơn trên mạng xã hội. Không dùng làm hành động Start của Retrospective.</w:t>
            </w:r>
          </w:p>
        </w:tc>
      </w:tr>
      <w:tr>
        <w:tc>
          <w:tcPr>
            <w:tcW w:type="dxa" w:w="792"/>
            <w:vAlign w:val="center"/>
          </w:tcPr>
          <w:p>
            <w:pPr>
              <w:spacing w:after="0" w:before="0" w:line="240" w:lineRule="auto"/>
            </w:pPr>
            <w:r/>
            <w:r>
              <w:rPr>
                <w:rFonts w:ascii="Arial" w:hAnsi="Arial" w:eastAsia="Arial"/>
                <w:b w:val="0"/>
                <w:color w:val="000000"/>
                <w:sz w:val="15"/>
              </w:rPr>
              <w:t>R-02</w:t>
            </w:r>
          </w:p>
        </w:tc>
        <w:tc>
          <w:tcPr>
            <w:tcW w:type="dxa" w:w="1800"/>
            <w:vAlign w:val="center"/>
          </w:tcPr>
          <w:p>
            <w:pPr>
              <w:spacing w:after="0" w:before="0" w:line="240" w:lineRule="auto"/>
            </w:pPr>
            <w:r/>
            <w:r>
              <w:rPr>
                <w:rFonts w:ascii="Arial" w:hAnsi="Arial" w:eastAsia="Arial"/>
                <w:b w:val="0"/>
                <w:color w:val="000000"/>
                <w:sz w:val="15"/>
              </w:rPr>
              <w:t>Cách làm việc</w:t>
            </w:r>
          </w:p>
        </w:tc>
        <w:tc>
          <w:tcPr>
            <w:tcW w:type="dxa" w:w="8064"/>
            <w:vAlign w:val="center"/>
          </w:tcPr>
          <w:p>
            <w:pPr>
              <w:spacing w:after="0" w:before="0" w:line="240" w:lineRule="auto"/>
            </w:pPr>
            <w:r/>
            <w:r>
              <w:rPr>
                <w:rFonts w:ascii="Arial" w:hAnsi="Arial" w:eastAsia="Arial"/>
                <w:b w:val="0"/>
                <w:color w:val="000000"/>
                <w:sz w:val="15"/>
              </w:rPr>
              <w:t>Giữ ý nhưng viết cụ thể thành hành động có thể kiểm tra, ví dụ: khi thay đổi quy tắc, cập nhật tài liệu chung trước khi triển khai.</w:t>
            </w:r>
          </w:p>
        </w:tc>
      </w:tr>
      <w:tr>
        <w:tc>
          <w:tcPr>
            <w:tcW w:type="dxa" w:w="792"/>
            <w:vAlign w:val="center"/>
          </w:tcPr>
          <w:p>
            <w:pPr>
              <w:spacing w:after="0" w:before="0" w:line="240" w:lineRule="auto"/>
            </w:pPr>
            <w:r/>
            <w:r>
              <w:rPr>
                <w:rFonts w:ascii="Arial" w:hAnsi="Arial" w:eastAsia="Arial"/>
                <w:b w:val="0"/>
                <w:color w:val="000000"/>
                <w:sz w:val="15"/>
              </w:rPr>
              <w:t>R-03</w:t>
            </w:r>
          </w:p>
        </w:tc>
        <w:tc>
          <w:tcPr>
            <w:tcW w:type="dxa" w:w="1800"/>
            <w:vAlign w:val="center"/>
          </w:tcPr>
          <w:p>
            <w:pPr>
              <w:spacing w:after="0" w:before="0" w:line="240" w:lineRule="auto"/>
            </w:pPr>
            <w:r/>
            <w:r>
              <w:rPr>
                <w:rFonts w:ascii="Arial" w:hAnsi="Arial" w:eastAsia="Arial"/>
                <w:b w:val="0"/>
                <w:color w:val="000000"/>
                <w:sz w:val="15"/>
              </w:rPr>
              <w:t>Cách làm việc</w:t>
            </w:r>
          </w:p>
        </w:tc>
        <w:tc>
          <w:tcPr>
            <w:tcW w:type="dxa" w:w="8064"/>
            <w:vAlign w:val="center"/>
          </w:tcPr>
          <w:p>
            <w:pPr>
              <w:spacing w:after="0" w:before="0" w:line="240" w:lineRule="auto"/>
            </w:pPr>
            <w:r/>
            <w:r>
              <w:rPr>
                <w:rFonts w:ascii="Arial" w:hAnsi="Arial" w:eastAsia="Arial"/>
                <w:b w:val="0"/>
                <w:color w:val="000000"/>
                <w:sz w:val="15"/>
              </w:rPr>
              <w:t>Viết lại trung lập: “Khi quy tắc hội thoại thay đổi mà chưa được thống nhất và cập nhật tài liệu chung, nhóm phải sửa lại công việc. Nhóm sẽ thống nhất quy trình thay đổi và cập nhật tài liệu trước khi triển khai.”</w:t>
            </w:r>
          </w:p>
        </w:tc>
      </w:tr>
      <w:tr>
        <w:tc>
          <w:tcPr>
            <w:tcW w:type="dxa" w:w="792"/>
            <w:vAlign w:val="center"/>
          </w:tcPr>
          <w:p>
            <w:pPr>
              <w:spacing w:after="0" w:before="0" w:line="240" w:lineRule="auto"/>
            </w:pPr>
            <w:r/>
            <w:r>
              <w:rPr>
                <w:rFonts w:ascii="Arial" w:hAnsi="Arial" w:eastAsia="Arial"/>
                <w:b w:val="0"/>
                <w:color w:val="000000"/>
                <w:sz w:val="15"/>
              </w:rPr>
              <w:t>R-04</w:t>
            </w:r>
          </w:p>
        </w:tc>
        <w:tc>
          <w:tcPr>
            <w:tcW w:type="dxa" w:w="1800"/>
            <w:vAlign w:val="center"/>
          </w:tcPr>
          <w:p>
            <w:pPr>
              <w:spacing w:after="0" w:before="0" w:line="240" w:lineRule="auto"/>
            </w:pPr>
            <w:r/>
            <w:r>
              <w:rPr>
                <w:rFonts w:ascii="Arial" w:hAnsi="Arial" w:eastAsia="Arial"/>
                <w:b w:val="0"/>
                <w:color w:val="000000"/>
                <w:sz w:val="15"/>
              </w:rPr>
              <w:t>Cách làm việc</w:t>
            </w:r>
          </w:p>
        </w:tc>
        <w:tc>
          <w:tcPr>
            <w:tcW w:type="dxa" w:w="8064"/>
            <w:vAlign w:val="center"/>
          </w:tcPr>
          <w:p>
            <w:pPr>
              <w:spacing w:after="0" w:before="0" w:line="240" w:lineRule="auto"/>
            </w:pPr>
            <w:r/>
            <w:r>
              <w:rPr>
                <w:rFonts w:ascii="Arial" w:hAnsi="Arial" w:eastAsia="Arial"/>
                <w:b w:val="0"/>
                <w:color w:val="000000"/>
                <w:sz w:val="15"/>
              </w:rPr>
              <w:t>Giữ ở Stop. Đây là hành vi cần dừng; thống nhất rằng mọi thay đổi quy tắc phải được ghi vào tài liệu chung, không chỉ gửi tin nhắn riêng.</w:t>
            </w:r>
          </w:p>
        </w:tc>
      </w:tr>
      <w:tr>
        <w:tc>
          <w:tcPr>
            <w:tcW w:type="dxa" w:w="792"/>
            <w:vAlign w:val="center"/>
          </w:tcPr>
          <w:p>
            <w:pPr>
              <w:spacing w:after="0" w:before="0" w:line="240" w:lineRule="auto"/>
            </w:pPr>
            <w:r/>
            <w:r>
              <w:rPr>
                <w:rFonts w:ascii="Arial" w:hAnsi="Arial" w:eastAsia="Arial"/>
                <w:b w:val="0"/>
                <w:color w:val="000000"/>
                <w:sz w:val="15"/>
              </w:rPr>
              <w:t>R-05</w:t>
            </w:r>
          </w:p>
        </w:tc>
        <w:tc>
          <w:tcPr>
            <w:tcW w:type="dxa" w:w="1800"/>
            <w:vAlign w:val="center"/>
          </w:tcPr>
          <w:p>
            <w:pPr>
              <w:spacing w:after="0" w:before="0" w:line="240" w:lineRule="auto"/>
            </w:pPr>
            <w:r/>
            <w:r>
              <w:rPr>
                <w:rFonts w:ascii="Arial" w:hAnsi="Arial" w:eastAsia="Arial"/>
                <w:b w:val="0"/>
                <w:color w:val="000000"/>
                <w:sz w:val="15"/>
              </w:rPr>
              <w:t>Cách làm việc</w:t>
            </w:r>
          </w:p>
        </w:tc>
        <w:tc>
          <w:tcPr>
            <w:tcW w:type="dxa" w:w="8064"/>
            <w:vAlign w:val="center"/>
          </w:tcPr>
          <w:p>
            <w:pPr>
              <w:spacing w:after="0" w:before="0" w:line="240" w:lineRule="auto"/>
            </w:pPr>
            <w:r/>
            <w:r>
              <w:rPr>
                <w:rFonts w:ascii="Arial" w:hAnsi="Arial" w:eastAsia="Arial"/>
                <w:b w:val="0"/>
                <w:color w:val="000000"/>
                <w:sz w:val="15"/>
              </w:rPr>
              <w:t>Giữ ở Continue. Tiếp tục pairing giữa người kiểm thử và người làm luồng hội thoại khi tái hiện lỗi, vì giúp phối hợp và tìm nguyên nhân.</w:t>
            </w:r>
          </w:p>
        </w:tc>
      </w:tr>
      <w:tr>
        <w:tc>
          <w:tcPr>
            <w:tcW w:type="dxa" w:w="792"/>
            <w:vAlign w:val="center"/>
          </w:tcPr>
          <w:p>
            <w:pPr>
              <w:spacing w:after="0" w:before="0" w:line="240" w:lineRule="auto"/>
            </w:pPr>
            <w:r/>
            <w:r>
              <w:rPr>
                <w:rFonts w:ascii="Arial" w:hAnsi="Arial" w:eastAsia="Arial"/>
                <w:b w:val="0"/>
                <w:color w:val="000000"/>
                <w:sz w:val="15"/>
              </w:rPr>
              <w:t>R-06</w:t>
            </w:r>
          </w:p>
        </w:tc>
        <w:tc>
          <w:tcPr>
            <w:tcW w:type="dxa" w:w="1800"/>
            <w:vAlign w:val="center"/>
          </w:tcPr>
          <w:p>
            <w:pPr>
              <w:spacing w:after="0" w:before="0" w:line="240" w:lineRule="auto"/>
            </w:pPr>
            <w:r/>
            <w:r>
              <w:rPr>
                <w:rFonts w:ascii="Arial" w:hAnsi="Arial" w:eastAsia="Arial"/>
                <w:b w:val="0"/>
                <w:color w:val="000000"/>
                <w:sz w:val="15"/>
              </w:rPr>
              <w:t>Phản hồi sản phẩm</w:t>
            </w:r>
          </w:p>
        </w:tc>
        <w:tc>
          <w:tcPr>
            <w:tcW w:type="dxa" w:w="8064"/>
            <w:vAlign w:val="center"/>
          </w:tcPr>
          <w:p>
            <w:pPr>
              <w:spacing w:after="0" w:before="0" w:line="240" w:lineRule="auto"/>
            </w:pPr>
            <w:r/>
            <w:r>
              <w:rPr>
                <w:rFonts w:ascii="Arial" w:hAnsi="Arial" w:eastAsia="Arial"/>
                <w:b w:val="0"/>
                <w:color w:val="000000"/>
                <w:sz w:val="15"/>
              </w:rPr>
              <w:t>Chuyển sang Product Backlog/trao đổi về mục tiêu sản phẩm. Tỷ lệ AI tự trả lời 90% là chỉ số sản phẩm, không phải hành vi Start của nhóm; cần cân nhắc cùng độ an toàn.</w:t>
            </w:r>
          </w:p>
        </w:tc>
      </w:tr>
      <w:tr>
        <w:tc>
          <w:tcPr>
            <w:tcW w:type="dxa" w:w="792"/>
            <w:vAlign w:val="center"/>
          </w:tcPr>
          <w:p>
            <w:pPr>
              <w:spacing w:after="0" w:before="0" w:line="240" w:lineRule="auto"/>
            </w:pPr>
            <w:r/>
            <w:r>
              <w:rPr>
                <w:rFonts w:ascii="Arial" w:hAnsi="Arial" w:eastAsia="Arial"/>
                <w:b w:val="0"/>
                <w:color w:val="000000"/>
                <w:sz w:val="15"/>
              </w:rPr>
              <w:t>R-07</w:t>
            </w:r>
          </w:p>
        </w:tc>
        <w:tc>
          <w:tcPr>
            <w:tcW w:type="dxa" w:w="1800"/>
            <w:vAlign w:val="center"/>
          </w:tcPr>
          <w:p>
            <w:pPr>
              <w:spacing w:after="0" w:before="0" w:line="240" w:lineRule="auto"/>
            </w:pPr>
            <w:r/>
            <w:r>
              <w:rPr>
                <w:rFonts w:ascii="Arial" w:hAnsi="Arial" w:eastAsia="Arial"/>
                <w:b w:val="0"/>
                <w:color w:val="000000"/>
                <w:sz w:val="15"/>
              </w:rPr>
              <w:t>Cách làm việc</w:t>
            </w:r>
          </w:p>
        </w:tc>
        <w:tc>
          <w:tcPr>
            <w:tcW w:type="dxa" w:w="8064"/>
            <w:vAlign w:val="center"/>
          </w:tcPr>
          <w:p>
            <w:pPr>
              <w:spacing w:after="0" w:before="0" w:line="240" w:lineRule="auto"/>
            </w:pPr>
            <w:r/>
            <w:r>
              <w:rPr>
                <w:rFonts w:ascii="Arial" w:hAnsi="Arial" w:eastAsia="Arial"/>
                <w:b w:val="0"/>
                <w:color w:val="000000"/>
                <w:sz w:val="15"/>
              </w:rPr>
              <w:t>Không chấp nhận đề xuất hạ Definition of Done. Giữ yêu cầu không còn lỗi nghiêm trọng cao; nhóm có thể cải thiện quy trình để đáp ứng chuẩn thay vì giảm chuẩn.</w:t>
            </w:r>
          </w:p>
        </w:tc>
      </w:tr>
    </w:tbl>
    <w:p>
      <w:pPr>
        <w:spacing w:after="0"/>
      </w:pPr>
    </w:p>
    <w:p>
      <w:pPr>
        <w:pStyle w:val="Heading1"/>
      </w:pPr>
      <w:r>
        <w:t>Phần 2 – Sửa và chọn Improvement</w:t>
      </w:r>
    </w:p>
    <w:p>
      <w:pPr>
        <w:spacing w:after="80"/>
      </w:pPr>
      <w:r>
        <w:t>Chọn 2 Improvement ưu tiên vì có thể kiểm tra rõ ràng và xử lý trực tiếp vấn đề trong cách phối hợp của nhóm.</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3600"/>
            <w:vAlign w:val="center"/>
            <w:shd w:fill="D9D9D9"/>
          </w:tcPr>
          <w:p>
            <w:pPr>
              <w:spacing w:after="0" w:before="0" w:line="240" w:lineRule="auto"/>
            </w:pPr>
            <w:r/>
            <w:r>
              <w:rPr>
                <w:rFonts w:ascii="Arial" w:hAnsi="Arial" w:eastAsia="Arial"/>
                <w:b/>
                <w:color w:val="000000"/>
                <w:sz w:val="15"/>
              </w:rPr>
              <w:t>Hành động</w:t>
            </w:r>
          </w:p>
        </w:tc>
        <w:tc>
          <w:tcPr>
            <w:tcW w:type="dxa" w:w="1944"/>
            <w:vAlign w:val="center"/>
            <w:shd w:fill="D9D9D9"/>
          </w:tcPr>
          <w:p>
            <w:pPr>
              <w:spacing w:after="0" w:before="0" w:line="240" w:lineRule="auto"/>
            </w:pPr>
            <w:r/>
            <w:r>
              <w:rPr>
                <w:rFonts w:ascii="Arial" w:hAnsi="Arial" w:eastAsia="Arial"/>
                <w:b/>
                <w:color w:val="000000"/>
                <w:sz w:val="15"/>
              </w:rPr>
              <w:t>Người/nhóm theo dõi</w:t>
            </w:r>
          </w:p>
        </w:tc>
        <w:tc>
          <w:tcPr>
            <w:tcW w:type="dxa" w:w="1944"/>
            <w:vAlign w:val="center"/>
            <w:shd w:fill="D9D9D9"/>
          </w:tcPr>
          <w:p>
            <w:pPr>
              <w:spacing w:after="0" w:before="0" w:line="240" w:lineRule="auto"/>
            </w:pPr>
            <w:r/>
            <w:r>
              <w:rPr>
                <w:rFonts w:ascii="Arial" w:hAnsi="Arial" w:eastAsia="Arial"/>
                <w:b/>
                <w:color w:val="000000"/>
                <w:sz w:val="15"/>
              </w:rPr>
              <w:t>Khi kiểm tra</w:t>
            </w:r>
          </w:p>
        </w:tc>
        <w:tc>
          <w:tcPr>
            <w:tcW w:type="dxa" w:w="3168"/>
            <w:vAlign w:val="center"/>
            <w:shd w:fill="D9D9D9"/>
          </w:tcPr>
          <w:p>
            <w:pPr>
              <w:spacing w:after="0" w:before="0" w:line="240" w:lineRule="auto"/>
            </w:pPr>
            <w:r/>
            <w:r>
              <w:rPr>
                <w:rFonts w:ascii="Arial" w:hAnsi="Arial" w:eastAsia="Arial"/>
                <w:b/>
                <w:color w:val="000000"/>
                <w:sz w:val="15"/>
              </w:rPr>
              <w:t>Bằng chứng</w:t>
            </w:r>
          </w:p>
        </w:tc>
      </w:tr>
      <w:tr>
        <w:tc>
          <w:tcPr>
            <w:tcW w:type="dxa" w:w="3600"/>
            <w:vAlign w:val="center"/>
          </w:tcPr>
          <w:p>
            <w:pPr>
              <w:spacing w:after="0" w:before="0" w:line="240" w:lineRule="auto"/>
            </w:pPr>
            <w:r/>
            <w:r>
              <w:rPr>
                <w:rFonts w:ascii="Arial" w:hAnsi="Arial" w:eastAsia="Arial"/>
                <w:b w:val="0"/>
                <w:color w:val="000000"/>
                <w:sz w:val="15"/>
              </w:rPr>
              <w:t>Khi thay đổi quy tắc chuyển người, cập nhật tài liệu chung trước khi triển khai; người thực hiện thay đổi xác nhận tài liệu đã cập nhật.</w:t>
            </w:r>
          </w:p>
        </w:tc>
        <w:tc>
          <w:tcPr>
            <w:tcW w:type="dxa" w:w="1944"/>
            <w:vAlign w:val="center"/>
          </w:tcPr>
          <w:p>
            <w:pPr>
              <w:spacing w:after="0" w:before="0" w:line="240" w:lineRule="auto"/>
            </w:pPr>
            <w:r/>
            <w:r>
              <w:rPr>
                <w:rFonts w:ascii="Arial" w:hAnsi="Arial" w:eastAsia="Arial"/>
                <w:b w:val="0"/>
                <w:color w:val="000000"/>
                <w:sz w:val="15"/>
              </w:rPr>
              <w:t>Developers cùng Scrum Master theo dõi</w:t>
            </w:r>
          </w:p>
        </w:tc>
        <w:tc>
          <w:tcPr>
            <w:tcW w:type="dxa" w:w="1944"/>
            <w:vAlign w:val="center"/>
          </w:tcPr>
          <w:p>
            <w:pPr>
              <w:spacing w:after="0" w:before="0" w:line="240" w:lineRule="auto"/>
            </w:pPr>
            <w:r/>
            <w:r>
              <w:rPr>
                <w:rFonts w:ascii="Arial" w:hAnsi="Arial" w:eastAsia="Arial"/>
                <w:b w:val="0"/>
                <w:color w:val="000000"/>
                <w:sz w:val="15"/>
              </w:rPr>
              <w:t>Mỗi lần thay đổi trong Sprint 12; kiểm tra tại Daily Scrum và cuối Sprint</w:t>
            </w:r>
          </w:p>
        </w:tc>
        <w:tc>
          <w:tcPr>
            <w:tcW w:type="dxa" w:w="3168"/>
            <w:vAlign w:val="center"/>
          </w:tcPr>
          <w:p>
            <w:pPr>
              <w:spacing w:after="0" w:before="0" w:line="240" w:lineRule="auto"/>
            </w:pPr>
            <w:r/>
            <w:r>
              <w:rPr>
                <w:rFonts w:ascii="Arial" w:hAnsi="Arial" w:eastAsia="Arial"/>
                <w:b w:val="0"/>
                <w:color w:val="000000"/>
                <w:sz w:val="15"/>
              </w:rPr>
              <w:t>Lịch sử phiên bản tài liệu có nội dung thay đổi và thời điểm cập nhật trước khi triển khai.</w:t>
            </w:r>
          </w:p>
        </w:tc>
      </w:tr>
      <w:tr>
        <w:tc>
          <w:tcPr>
            <w:tcW w:type="dxa" w:w="3600"/>
            <w:vAlign w:val="center"/>
          </w:tcPr>
          <w:p>
            <w:pPr>
              <w:spacing w:after="0" w:before="0" w:line="240" w:lineRule="auto"/>
            </w:pPr>
            <w:r/>
            <w:r>
              <w:rPr>
                <w:rFonts w:ascii="Arial" w:hAnsi="Arial" w:eastAsia="Arial"/>
                <w:b w:val="0"/>
                <w:color w:val="000000"/>
                <w:sz w:val="15"/>
              </w:rPr>
              <w:t>Chạy Integration Test đầu tiên không muộn hơn Ngày 4; nếu bị chặn, ghi rõ nguyên nhân và người hỗ trợ ngay trong ngày.</w:t>
            </w:r>
          </w:p>
        </w:tc>
        <w:tc>
          <w:tcPr>
            <w:tcW w:type="dxa" w:w="1944"/>
            <w:vAlign w:val="center"/>
          </w:tcPr>
          <w:p>
            <w:pPr>
              <w:spacing w:after="0" w:before="0" w:line="240" w:lineRule="auto"/>
            </w:pPr>
            <w:r/>
            <w:r>
              <w:rPr>
                <w:rFonts w:ascii="Arial" w:hAnsi="Arial" w:eastAsia="Arial"/>
                <w:b w:val="0"/>
                <w:color w:val="000000"/>
                <w:sz w:val="15"/>
              </w:rPr>
              <w:t>Developers; Khánh Vy theo dõi kiểm thử</w:t>
            </w:r>
          </w:p>
        </w:tc>
        <w:tc>
          <w:tcPr>
            <w:tcW w:type="dxa" w:w="1944"/>
            <w:vAlign w:val="center"/>
          </w:tcPr>
          <w:p>
            <w:pPr>
              <w:spacing w:after="0" w:before="0" w:line="240" w:lineRule="auto"/>
            </w:pPr>
            <w:r/>
            <w:r>
              <w:rPr>
                <w:rFonts w:ascii="Arial" w:hAnsi="Arial" w:eastAsia="Arial"/>
                <w:b w:val="0"/>
                <w:color w:val="000000"/>
                <w:sz w:val="15"/>
              </w:rPr>
              <w:t>Ngày 4 của Sprint 12 và rà soát tại Sprint Review</w:t>
            </w:r>
          </w:p>
        </w:tc>
        <w:tc>
          <w:tcPr>
            <w:tcW w:type="dxa" w:w="3168"/>
            <w:vAlign w:val="center"/>
          </w:tcPr>
          <w:p>
            <w:pPr>
              <w:spacing w:after="0" w:before="0" w:line="240" w:lineRule="auto"/>
            </w:pPr>
            <w:r/>
            <w:r>
              <w:rPr>
                <w:rFonts w:ascii="Arial" w:hAnsi="Arial" w:eastAsia="Arial"/>
                <w:b w:val="0"/>
                <w:color w:val="000000"/>
                <w:sz w:val="15"/>
              </w:rPr>
              <w:t>Bản ghi chạy Integration Test có ngày giờ; nếu trễ, có ghi nhận blocker và hành động xử lý.</w:t>
            </w:r>
          </w:p>
        </w:tc>
      </w:tr>
    </w:tbl>
    <w:p>
      <w:pPr>
        <w:spacing w:after="0"/>
      </w:pPr>
    </w:p>
    <w:p>
      <w:pPr>
        <w:spacing w:after="60"/>
      </w:pPr>
      <w:r>
        <w:rPr>
          <w:b/>
        </w:rPr>
        <w:t xml:space="preserve">Xử lý IM-10-02: </w:t>
      </w:r>
      <w:r>
        <w:t>Không bỏ qua hay chỉ gia hạn Improvement cũ. Nhóm cần phân tích vì sao Integration Test vẫn đến Ngày 8 (ví dụ quyền truy cập môi trường chỉ đủ vào Ngày 4), xác định trở ngại có thể kiểm soát và đưa hành động cụ thể vào Sprint 12; bằng chứng là kết quả test có dấu thời gian và ghi nhận blocker nếu có.</w:t>
      </w:r>
    </w:p>
    <w:p>
      <w:pPr>
        <w:pStyle w:val="Heading1"/>
      </w:pPr>
      <w:r>
        <w:t>Phần 3 – Nhận xét cách điều phối</w:t>
      </w:r>
    </w:p>
    <w:p>
      <w:pPr>
        <w:pStyle w:val="ListNumber"/>
        <w:spacing w:after="80"/>
      </w:pPr>
      <w:r>
        <w:t>Scrum Master hỏi “Ai đã làm sáu khiếu nại bị phân loại sai?” khiến cuộc họp tập trung truy lỗi cá nhân thay vì xem xét quy trình và hệ thống. Khi tên một thành viên bị nêu ra, những người còn lại ngừng phát biểu, làm giảm sự an toàn tâm lý và khiến nhóm mất thông tin cần thiết để cải tiến.</w:t>
      </w:r>
    </w:p>
    <w:p>
      <w:pPr>
        <w:pStyle w:val="ListNumber"/>
        <w:spacing w:after="80"/>
      </w:pPr>
      <w:r>
        <w:t>Product Owner trả lời từng ý và tự chọn giải pháp, thay Scrum Team cùng thảo luận và quyết định Improvement. Cách điều phối này làm giảm quyền tham gia của Developers và Scrum Team; Scrum Master nên tạo điều kiện để mọi người chia sẻ công bằng, còn nhóm cùng chọn tối đa hai hành động có thể theo dõi ở Sprint sau.</w:t>
      </w:r>
    </w:p>
    <w:sectPr w:rsidR="00FC693F" w:rsidRPr="0006063C" w:rsidSect="00034616">
      <w:footerReference w:type="default" r:id="rId9"/>
      <w:pgSz w:w="12240" w:h="15840"/>
      <w:pgMar w:top="936" w:right="864" w:bottom="936"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000000"/>
        <w:sz w:val="16"/>
      </w:rPr>
      <w:t>Sprint Retrospective – Sprint 11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