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BÀI TẬP THỰC HÀNH: MA TRẬN STAKEHOLDER &amp; GIẢI QUYẾT XUNG ĐỘT BẢO MẬT HỒ SƠ EHR</w:t>
      </w:r>
    </w:p>
    <w:p>
      <w:pPr>
        <w:pStyle w:val="Subtitle"/>
        <w:jc w:val="center"/>
      </w:pPr>
      <w:r>
        <w:t>Tài liệu Phân tích Hệ thống - Phân hệ EHR</w:t>
      </w:r>
    </w:p>
    <w:p>
      <w:pPr>
        <w:pStyle w:val="Heading1"/>
      </w:pPr>
      <w:r>
        <w:t>Phần 1: Thanh lọc danh sách &amp; Loại bỏ thực thể kỹ thuật</w:t>
      </w:r>
    </w:p>
    <w:p>
      <w:r>
        <w:t>Từ danh sách 5 đối tượng khảo sát ban đầu, ta tiến hành phân định bản chất như sau:</w:t>
      </w:r>
    </w:p>
    <w:p>
      <w:r>
        <w:rPr>
          <w:b/>
        </w:rPr>
        <w:t xml:space="preserve">1. Các Stakeholder thực thụ (Giữ lại): </w:t>
      </w:r>
      <w:r>
        <w:t>Bác sĩ điều trị trực tiếp, Ban Giám đốc Bệnh viện RikkeiCare, Bệnh nhân và Thân nhân người bệnh, Thanh tra Pháp chế &amp; Bảo mật Y tế (Bộ Y tế).</w:t>
      </w:r>
    </w:p>
    <w:p>
      <w:r>
        <w:rPr>
          <w:i/>
        </w:rPr>
        <w:t>Lý do: Đây là các cá nhân, nhóm người hoặc tổ chức có quyền lợi, vai trò, chịu tác động trực tiếp hoặc có khả năng ra quyết định ảnh hưởng đến dự án EHR.</w:t>
      </w:r>
    </w:p>
    <w:p>
      <w:r>
        <w:rPr>
          <w:b/>
        </w:rPr>
        <w:t xml:space="preserve">2. Thực thể kỹ thuật (Loại bỏ khỏi danh sách Stakeholder): </w:t>
      </w:r>
      <w:r>
        <w:t>Máy chủ cơ sở dữ liệu Oracle.</w:t>
      </w:r>
    </w:p>
    <w:p>
      <w:r>
        <w:rPr>
          <w:i/>
        </w:rPr>
        <w:t>Lý do: Máy chủ là phần cứng/hệ thống lưu trữ, không có nhận thức, không có quyền lợi hay khả năng ra quyết định. Đề xuất của nhóm cũ xếp máy chủ vào ô "Manage Closely" là hoàn toàn sai bản chất phân tích Stakeholder.</w:t>
      </w:r>
    </w:p>
    <w:p>
      <w:pPr>
        <w:pStyle w:val="Heading1"/>
      </w:pPr>
      <w:r>
        <w:t>Phần 2: Điền khuyết Ma trận Stakeholder 4 ô</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Nhóm chiến lược</w:t>
            </w:r>
          </w:p>
        </w:tc>
        <w:tc>
          <w:tcPr>
            <w:tcW w:type="dxa" w:w="2160"/>
          </w:tcPr>
          <w:p>
            <w:r>
              <w:rPr>
                <w:b/>
              </w:rPr>
              <w:t>Tiêu chí</w:t>
            </w:r>
          </w:p>
        </w:tc>
        <w:tc>
          <w:tcPr>
            <w:tcW w:type="dxa" w:w="2160"/>
          </w:tcPr>
          <w:p>
            <w:r>
              <w:rPr>
                <w:b/>
              </w:rPr>
              <w:t>Stakeholder</w:t>
            </w:r>
          </w:p>
        </w:tc>
        <w:tc>
          <w:tcPr>
            <w:tcW w:type="dxa" w:w="2160"/>
          </w:tcPr>
          <w:p>
            <w:r>
              <w:rPr>
                <w:b/>
              </w:rPr>
              <w:t>Hành động tương tác chủ chốt</w:t>
            </w:r>
          </w:p>
        </w:tc>
      </w:tr>
      <w:tr>
        <w:tc>
          <w:tcPr>
            <w:tcW w:type="dxa" w:w="2160"/>
          </w:tcPr>
          <w:p>
            <w:r>
              <w:t>Quản lý chặt chẽ</w:t>
              <w:br/>
              <w:t>(Manage Closely)</w:t>
            </w:r>
          </w:p>
        </w:tc>
        <w:tc>
          <w:tcPr>
            <w:tcW w:type="dxa" w:w="2160"/>
          </w:tcPr>
          <w:p>
            <w:r>
              <w:t>Quyền lực Cao</w:t>
              <w:br/>
              <w:t>Quan tâm Cao</w:t>
            </w:r>
          </w:p>
        </w:tc>
        <w:tc>
          <w:tcPr>
            <w:tcW w:type="dxa" w:w="2160"/>
          </w:tcPr>
          <w:p>
            <w:r>
              <w:t>Ban Giám đốc Bệnh viện</w:t>
            </w:r>
          </w:p>
        </w:tc>
        <w:tc>
          <w:tcPr>
            <w:tcW w:type="dxa" w:w="2160"/>
          </w:tcPr>
          <w:p>
            <w:r>
              <w:t>Báo cáo tiến độ trực tiếp, tham gia mọi quyết định lớn</w:t>
            </w:r>
          </w:p>
        </w:tc>
      </w:tr>
      <w:tr>
        <w:tc>
          <w:tcPr>
            <w:tcW w:type="dxa" w:w="2160"/>
          </w:tcPr>
          <w:p>
            <w:r>
              <w:t>Giữ hài lòng</w:t>
              <w:br/>
              <w:t>(Keep Satisfied)</w:t>
            </w:r>
          </w:p>
        </w:tc>
        <w:tc>
          <w:tcPr>
            <w:tcW w:type="dxa" w:w="2160"/>
          </w:tcPr>
          <w:p>
            <w:r>
              <w:t>Quyền lực Cao</w:t>
              <w:br/>
              <w:t>Quan tâm Thấp</w:t>
            </w:r>
          </w:p>
        </w:tc>
        <w:tc>
          <w:tcPr>
            <w:tcW w:type="dxa" w:w="2160"/>
          </w:tcPr>
          <w:p>
            <w:r>
              <w:rPr>
                <w:b/>
                <w:color w:val="0000FF"/>
              </w:rPr>
              <w:t>Thanh tra Pháp chế &amp; Bảo mật Y tế (Bộ Y tế)</w:t>
            </w:r>
          </w:p>
        </w:tc>
        <w:tc>
          <w:tcPr>
            <w:tcW w:type="dxa" w:w="2160"/>
          </w:tcPr>
          <w:p>
            <w:r>
              <w:rPr>
                <w:color w:val="0000FF"/>
              </w:rPr>
              <w:t>Đảm bảo hệ thống tuân thủ nghiêm ngặt các tiêu chuẩn y tế và pháp luật, cung cấp hồ sơ/báo cáo minh bạch ngay khi có yêu cầu thanh tra.</w:t>
            </w:r>
          </w:p>
        </w:tc>
      </w:tr>
      <w:tr>
        <w:tc>
          <w:tcPr>
            <w:tcW w:type="dxa" w:w="2160"/>
          </w:tcPr>
          <w:p>
            <w:r>
              <w:t>Giữ thông tin</w:t>
              <w:br/>
              <w:t>(Keep Informed)</w:t>
            </w:r>
          </w:p>
        </w:tc>
        <w:tc>
          <w:tcPr>
            <w:tcW w:type="dxa" w:w="2160"/>
          </w:tcPr>
          <w:p>
            <w:r>
              <w:t>Quyền lực Thấp</w:t>
              <w:br/>
              <w:t>Quan tâm Cao</w:t>
            </w:r>
          </w:p>
        </w:tc>
        <w:tc>
          <w:tcPr>
            <w:tcW w:type="dxa" w:w="2160"/>
          </w:tcPr>
          <w:p>
            <w:r>
              <w:rPr>
                <w:b/>
                <w:color w:val="0000FF"/>
              </w:rPr>
              <w:t>Bác sĩ điều trị trực tiếp</w:t>
            </w:r>
          </w:p>
        </w:tc>
        <w:tc>
          <w:tcPr>
            <w:tcW w:type="dxa" w:w="2160"/>
          </w:tcPr>
          <w:p>
            <w:r>
              <w:rPr>
                <w:color w:val="0000FF"/>
              </w:rPr>
              <w:t>Thường xuyên cập nhật tính năng mới, thu thập phản hồi về UX/UI, cung cấp tài liệu hướng dẫn và hỗ trợ kỹ thuật sát sao trong quá trình sử dụng hệ thống.</w:t>
            </w:r>
          </w:p>
        </w:tc>
      </w:tr>
      <w:tr>
        <w:tc>
          <w:tcPr>
            <w:tcW w:type="dxa" w:w="2160"/>
          </w:tcPr>
          <w:p>
            <w:r>
              <w:t>Giám sát tối thiểu</w:t>
              <w:br/>
              <w:t>(Monitor)</w:t>
            </w:r>
          </w:p>
        </w:tc>
        <w:tc>
          <w:tcPr>
            <w:tcW w:type="dxa" w:w="2160"/>
          </w:tcPr>
          <w:p>
            <w:r>
              <w:t>Quyền lực Thấp</w:t>
              <w:br/>
              <w:t>Quan tâm Thấp</w:t>
            </w:r>
          </w:p>
        </w:tc>
        <w:tc>
          <w:tcPr>
            <w:tcW w:type="dxa" w:w="2160"/>
          </w:tcPr>
          <w:p>
            <w:r>
              <w:t>Bệnh nhân và Thân nhân (nói chung, ở cấp độ quản trị dự án)</w:t>
            </w:r>
          </w:p>
        </w:tc>
        <w:tc>
          <w:tcPr>
            <w:tcW w:type="dxa" w:w="2160"/>
          </w:tcPr>
          <w:p>
            <w:r>
              <w:t>Thông báo định kỳ qua email/app, không cần họp riêng</w:t>
            </w:r>
          </w:p>
        </w:tc>
      </w:tr>
    </w:tbl>
    <w:p>
      <w:pPr>
        <w:pStyle w:val="Heading1"/>
      </w:pPr>
      <w:r>
        <w:t>Phần 3: Giải quyết xung đột bảo mật hồ sơ EHR (Bẫy dữ liệu dị biệt)</w:t>
      </w:r>
    </w:p>
    <w:p>
      <w:r>
        <w:rPr>
          <w:b/>
        </w:rPr>
        <w:t>Giải pháp dung hòa xung đột giữa Tiện ích (Bác sĩ) và Bảo mật (Pháp chế):</w:t>
      </w:r>
    </w:p>
    <w:p>
      <w:r>
        <w:t xml:space="preserve">Hệ thống sẽ thiết lập quy trình mặc định yêu cầu bệnh nhân cung cấp mã xác nhận (Consent) để mở hồ sơ bệnh án nhạy cảm nhằm tuân thủ Pháp chế. Tuy nhiên, để đáp ứng yêu cầu cứu người của Bác sĩ trong các trường hợp nguy cấp (như bệnh nhân cấp cứu, hôn mê bất tỉnh), hệ thống phải tích hợp cơ chế </w:t>
      </w:r>
      <w:r>
        <w:rPr>
          <w:b/>
        </w:rPr>
        <w:t>"Emergency Override" (Cấp quyền khẩn cấp / Phá vỡ rào cản)</w:t>
      </w:r>
      <w:r>
        <w:t>. Cơ chế này cho phép Bác sĩ bỏ qua bước xác nhận để xem ngay lập tức toàn bộ dữ liệu EHR, nhưng bắt buộc hệ thống phải ghi vết lại lịch sử thao tác (Audit Log) cảnh báo đỏ và yêu cầu Bác sĩ điền lý do y tế ngay sau ca cấp cứu để phục vụ công tác hậu kiểm.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