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PHẢN BIỆN TOÀN DIỆN BẢN THẢO SRS RIKKEITRAVEL</w:t>
      </w:r>
    </w:p>
    <w:p>
      <w:pPr>
        <w:pStyle w:val="Heading1"/>
      </w:pPr>
      <w:r>
        <w:t>BƯỚC 1 — BẢNG LỖI PHÁT HIỆN ĐƯỢC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Nội dung lỗi</w:t>
            </w:r>
          </w:p>
        </w:tc>
        <w:tc>
          <w:tcPr>
            <w:tcW w:type="dxa" w:w="2160"/>
          </w:tcPr>
          <w:p>
            <w:r>
              <w:t>Phân loại lỗi</w:t>
            </w:r>
          </w:p>
        </w:tc>
        <w:tc>
          <w:tcPr>
            <w:tcW w:type="dxa" w:w="2160"/>
          </w:tcPr>
          <w:p>
            <w:r>
              <w:t>Vị trí đúng hoặc cách khắc phục</w:t>
            </w:r>
          </w:p>
        </w:tc>
      </w:tr>
      <w:tr>
        <w:tc>
          <w:tcPr>
            <w:tcW w:type="dxa" w:w="2160"/>
          </w:tcPr>
          <w:p>
            <w:r>
              <w:t>1</w:t>
            </w:r>
          </w:p>
        </w:tc>
        <w:tc>
          <w:tcPr>
            <w:tcW w:type="dxa" w:w="2160"/>
          </w:tcPr>
          <w:p>
            <w:r>
              <w:t>Mục [2.4 Constraints] chứa Actor và Use Case.</w:t>
            </w:r>
          </w:p>
        </w:tc>
        <w:tc>
          <w:tcPr>
            <w:tcW w:type="dxa" w:w="2160"/>
          </w:tcPr>
          <w:p>
            <w:r>
              <w:t>Sai vị trí IEEE 830</w:t>
            </w:r>
          </w:p>
        </w:tc>
        <w:tc>
          <w:tcPr>
            <w:tcW w:type="dxa" w:w="2160"/>
          </w:tcPr>
          <w:p>
            <w:r>
              <w:t>Đưa Actor vào phần User Classes and Characteristics và Use Case/chức năng vào Product Functions hoặc Functional Requirements.</w:t>
            </w:r>
          </w:p>
        </w:tc>
      </w:tr>
      <w:tr>
        <w:tc>
          <w:tcPr>
            <w:tcW w:type="dxa" w:w="2160"/>
          </w:tcPr>
          <w:p>
            <w:r>
              <w:t>2</w:t>
            </w:r>
          </w:p>
        </w:tc>
        <w:tc>
          <w:tcPr>
            <w:tcW w:type="dxa" w:w="2160"/>
          </w:tcPr>
          <w:p>
            <w:r>
              <w:t>Mục [1.3 Definitions] chứa sơ đồ ERD.</w:t>
            </w:r>
          </w:p>
        </w:tc>
        <w:tc>
          <w:tcPr>
            <w:tcW w:type="dxa" w:w="2160"/>
          </w:tcPr>
          <w:p>
            <w:r>
              <w:t>Sai vị trí IEEE 830</w:t>
            </w:r>
          </w:p>
        </w:tc>
        <w:tc>
          <w:tcPr>
            <w:tcW w:type="dxa" w:w="2160"/>
          </w:tcPr>
          <w:p>
            <w:r>
              <w:t>Đưa ERD vào Database Requirements/Specific Requirements; Definitions chỉ giải thích thuật ngữ, từ viết tắt.</w:t>
            </w:r>
          </w:p>
        </w:tc>
      </w:tr>
      <w:tr>
        <w:tc>
          <w:tcPr>
            <w:tcW w:type="dxa" w:w="2160"/>
          </w:tcPr>
          <w:p>
            <w:r>
              <w:t>3</w:t>
            </w:r>
          </w:p>
        </w:tc>
        <w:tc>
          <w:tcPr>
            <w:tcW w:type="dxa" w:w="2160"/>
          </w:tcPr>
          <w:p>
            <w:r>
              <w:t>REQ-21 dùng cụm “một cách nhanh chóng”.</w:t>
            </w:r>
          </w:p>
        </w:tc>
        <w:tc>
          <w:tcPr>
            <w:tcW w:type="dxa" w:w="2160"/>
          </w:tcPr>
          <w:p>
            <w:r>
              <w:t>Unambiguous, Verifiable</w:t>
            </w:r>
          </w:p>
        </w:tc>
        <w:tc>
          <w:tcPr>
            <w:tcW w:type="dxa" w:w="2160"/>
          </w:tcPr>
          <w:p>
            <w:r>
              <w:t>Thay bằng thời gian cụ thể, ví dụ hệ thống phải phản hồi trong không quá 5 giây trong điều kiện đã quy định.</w:t>
            </w:r>
          </w:p>
        </w:tc>
      </w:tr>
      <w:tr>
        <w:tc>
          <w:tcPr>
            <w:tcW w:type="dxa" w:w="2160"/>
          </w:tcPr>
          <w:p>
            <w:r>
              <w:t>4</w:t>
            </w:r>
          </w:p>
        </w:tc>
        <w:tc>
          <w:tcPr>
            <w:tcW w:type="dxa" w:w="2160"/>
          </w:tcPr>
          <w:p>
            <w:r>
              <w:t>REQ-22 chưa nêu rõ cách xác định thanh toán hợp lệ.</w:t>
            </w:r>
          </w:p>
        </w:tc>
        <w:tc>
          <w:tcPr>
            <w:tcW w:type="dxa" w:w="2160"/>
          </w:tcPr>
          <w:p>
            <w:r>
              <w:t>Complete, Verifiable</w:t>
            </w:r>
          </w:p>
        </w:tc>
        <w:tc>
          <w:tcPr>
            <w:tcW w:type="dxa" w:w="2160"/>
          </w:tcPr>
          <w:p>
            <w:r>
              <w:t>Quy định giao dịch thành công, số tiền ghi nhận đủ 100% giá trị hợp đồng và có mã giao dịch hợp lệ.</w:t>
            </w:r>
          </w:p>
        </w:tc>
      </w:tr>
      <w:tr>
        <w:tc>
          <w:tcPr>
            <w:tcW w:type="dxa" w:w="2160"/>
          </w:tcPr>
          <w:p>
            <w:r>
              <w:t>5</w:t>
            </w:r>
          </w:p>
        </w:tc>
        <w:tc>
          <w:tcPr>
            <w:tcW w:type="dxa" w:w="2160"/>
          </w:tcPr>
          <w:p>
            <w:r>
              <w:t>REQ-23 cho phép sửa báo giá sau khi thanh toán.</w:t>
            </w:r>
          </w:p>
        </w:tc>
        <w:tc>
          <w:tcPr>
            <w:tcW w:type="dxa" w:w="2160"/>
          </w:tcPr>
          <w:p>
            <w:r>
              <w:t>Consistent</w:t>
            </w:r>
          </w:p>
        </w:tc>
        <w:tc>
          <w:tcPr>
            <w:tcW w:type="dxa" w:w="2160"/>
          </w:tcPr>
          <w:p>
            <w:r>
              <w:t>Mâu thuẫn với REQ-24; sửa theo một Business Rule duy nhất về thời điểm khóa báo giá.</w:t>
            </w:r>
          </w:p>
        </w:tc>
      </w:tr>
      <w:tr>
        <w:tc>
          <w:tcPr>
            <w:tcW w:type="dxa" w:w="2160"/>
          </w:tcPr>
          <w:p>
            <w:r>
              <w:t>6</w:t>
            </w:r>
          </w:p>
        </w:tc>
        <w:tc>
          <w:tcPr>
            <w:tcW w:type="dxa" w:w="2160"/>
          </w:tcPr>
          <w:p>
            <w:r>
              <w:t>REQ-24 khóa báo giá sau khi thanh toán.</w:t>
            </w:r>
          </w:p>
        </w:tc>
        <w:tc>
          <w:tcPr>
            <w:tcW w:type="dxa" w:w="2160"/>
          </w:tcPr>
          <w:p>
            <w:r>
              <w:t>Consistent</w:t>
            </w:r>
          </w:p>
        </w:tc>
        <w:tc>
          <w:tcPr>
            <w:tcW w:type="dxa" w:w="2160"/>
          </w:tcPr>
          <w:p>
            <w:r>
              <w:t>Giữ quy tắc khóa và dùng cùng quy tắc này cho mọi yêu cầu liên quan.</w:t>
            </w:r>
          </w:p>
        </w:tc>
      </w:tr>
      <w:tr>
        <w:tc>
          <w:tcPr>
            <w:tcW w:type="dxa" w:w="2160"/>
          </w:tcPr>
          <w:p>
            <w:r>
              <w:t>7</w:t>
            </w:r>
          </w:p>
        </w:tc>
        <w:tc>
          <w:tcPr>
            <w:tcW w:type="dxa" w:w="2160"/>
          </w:tcPr>
          <w:p>
            <w:r>
              <w:t>REQ-25 nói “có thể được cân nhắc”, “tùy nguồn lực”.</w:t>
            </w:r>
          </w:p>
        </w:tc>
        <w:tc>
          <w:tcPr>
            <w:tcW w:type="dxa" w:w="2160"/>
          </w:tcPr>
          <w:p>
            <w:r>
              <w:t>Unambiguous, Verifiable</w:t>
            </w:r>
          </w:p>
        </w:tc>
        <w:tc>
          <w:tcPr>
            <w:tcW w:type="dxa" w:w="2160"/>
          </w:tcPr>
          <w:p>
            <w:r>
              <w:t>Xác định rõ đây là yêu cầu tùy chọn và bổ sung Priority, ví dụ Should Have.</w:t>
            </w:r>
          </w:p>
        </w:tc>
      </w:tr>
      <w:tr>
        <w:tc>
          <w:tcPr>
            <w:tcW w:type="dxa" w:w="2160"/>
          </w:tcPr>
          <w:p>
            <w:r>
              <w:t>8</w:t>
            </w:r>
          </w:p>
        </w:tc>
        <w:tc>
          <w:tcPr>
            <w:tcW w:type="dxa" w:w="2160"/>
          </w:tcPr>
          <w:p>
            <w:r>
              <w:t>REQ-25 chưa có mức độ ưu tiên.</w:t>
            </w:r>
          </w:p>
        </w:tc>
        <w:tc>
          <w:tcPr>
            <w:tcW w:type="dxa" w:w="2160"/>
          </w:tcPr>
          <w:p>
            <w:r>
              <w:t>Complete</w:t>
            </w:r>
          </w:p>
        </w:tc>
        <w:tc>
          <w:tcPr>
            <w:tcW w:type="dxa" w:w="2160"/>
          </w:tcPr>
          <w:p>
            <w:r>
              <w:t>Bổ sung Priority: Should Have.</w:t>
            </w:r>
          </w:p>
        </w:tc>
      </w:tr>
      <w:tr>
        <w:tc>
          <w:tcPr>
            <w:tcW w:type="dxa" w:w="2160"/>
          </w:tcPr>
          <w:p>
            <w:r>
              <w:t>9</w:t>
            </w:r>
          </w:p>
        </w:tc>
        <w:tc>
          <w:tcPr>
            <w:tcW w:type="dxa" w:w="2160"/>
          </w:tcPr>
          <w:p>
            <w:r>
              <w:t>REQ-23 và REQ-24 ở các trang khác nhau nhưng không có quy tắc nghiệp vụ chung.</w:t>
            </w:r>
          </w:p>
        </w:tc>
        <w:tc>
          <w:tcPr>
            <w:tcW w:type="dxa" w:w="2160"/>
          </w:tcPr>
          <w:p>
            <w:r>
              <w:t>Traceable, Consistent</w:t>
            </w:r>
          </w:p>
        </w:tc>
        <w:tc>
          <w:tcPr>
            <w:tcW w:type="dxa" w:w="2160"/>
          </w:tcPr>
          <w:p>
            <w:r>
              <w:t>Tạo BR-01 và tham chiếu BR-01 trong REQ-23/REQ-24.</w:t>
            </w:r>
          </w:p>
        </w:tc>
      </w:tr>
      <w:tr>
        <w:tc>
          <w:tcPr>
            <w:tcW w:type="dxa" w:w="2160"/>
          </w:tcPr>
          <w:p>
            <w:r>
              <w:t>10</w:t>
            </w:r>
          </w:p>
        </w:tc>
        <w:tc>
          <w:tcPr>
            <w:tcW w:type="dxa" w:w="2160"/>
          </w:tcPr>
          <w:p>
            <w:r>
              <w:t>Danh sách Use Case chưa được đặt trong phần mô tả chức năng phù hợp.</w:t>
            </w:r>
          </w:p>
        </w:tc>
        <w:tc>
          <w:tcPr>
            <w:tcW w:type="dxa" w:w="2160"/>
          </w:tcPr>
          <w:p>
            <w:r>
              <w:t>Complete / sai cấu trúc IEEE 830</w:t>
            </w:r>
          </w:p>
        </w:tc>
        <w:tc>
          <w:tcPr>
            <w:tcW w:type="dxa" w:w="2160"/>
          </w:tcPr>
          <w:p>
            <w:r>
              <w:t>Đưa các chức năng vào Product Functions/Functional Requirements và mô tả đủ để kiểm thử.</w:t>
            </w:r>
          </w:p>
        </w:tc>
      </w:tr>
    </w:tbl>
    <w:p>
      <w:pPr>
        <w:pStyle w:val="Heading1"/>
      </w:pPr>
      <w:r>
        <w:t>BƯỚC 2 — BẢN CHỈNH SỬA HOÀN CHỈNH</w:t>
      </w:r>
    </w:p>
    <w:p>
      <w:pPr>
        <w:pStyle w:val="Heading2"/>
      </w:pPr>
      <w:r>
        <w:t>1.2 Scope</w:t>
      </w:r>
    </w:p>
    <w:p>
      <w:r>
        <w:t>Hệ thống hỗ trợ khách hàng doanh nghiệp đặt tour trọn gói cho nhóm từ 10 người trở lên.</w:t>
      </w:r>
    </w:p>
    <w:p>
      <w:pPr>
        <w:pStyle w:val="Heading2"/>
      </w:pPr>
      <w:r>
        <w:t>2. Overall Description</w:t>
      </w:r>
    </w:p>
    <w:p>
      <w:pPr>
        <w:pStyle w:val="Heading3"/>
      </w:pPr>
      <w:r>
        <w:t>2.2 Product Functions</w:t>
      </w:r>
    </w:p>
    <w:p>
      <w:pPr>
        <w:pStyle w:val="ListBullet"/>
      </w:pPr>
      <w:r>
        <w:t>Tạo yêu cầu đặt tour.</w:t>
      </w:r>
    </w:p>
    <w:p>
      <w:pPr>
        <w:pStyle w:val="ListBullet"/>
      </w:pPr>
      <w:r>
        <w:t>Duyệt báo giá.</w:t>
      </w:r>
    </w:p>
    <w:p>
      <w:pPr>
        <w:pStyle w:val="ListBullet"/>
      </w:pPr>
      <w:r>
        <w:t>Xác nhận thanh toán.</w:t>
      </w:r>
    </w:p>
    <w:p>
      <w:pPr>
        <w:pStyle w:val="ListBullet"/>
      </w:pPr>
      <w:r>
        <w:t>Tự động chuyển trạng thái đơn sang “Đã xác nhận” khi thanh toán đủ 100% giá trị hợp đồng được xác nhận.</w:t>
      </w:r>
    </w:p>
    <w:p>
      <w:pPr>
        <w:pStyle w:val="Heading3"/>
      </w:pPr>
      <w:r>
        <w:t>2.3 User Classes and Characteristics</w:t>
      </w:r>
    </w:p>
    <w:p>
      <w:r>
        <w:t>Actor chính: Nhân viên đặt tour phía khách hàng doanh nghiệp và Điều phối viên RikkeiTravel.</w:t>
      </w:r>
    </w:p>
    <w:p>
      <w:pPr>
        <w:pStyle w:val="Heading3"/>
      </w:pPr>
      <w:r>
        <w:t>2.4 Constraints</w:t>
      </w:r>
    </w:p>
    <w:p>
      <w:r>
        <w:t>Mục này chỉ chứa các ràng buộc về kỹ thuật, môi trường, nền tảng hoặc quy định triển khai; không liệt kê Actor và Use Case.</w:t>
      </w:r>
    </w:p>
    <w:p>
      <w:pPr>
        <w:pStyle w:val="Heading2"/>
      </w:pPr>
      <w:r>
        <w:t>3. Specific Requirements</w:t>
      </w:r>
    </w:p>
    <w:p>
      <w:pPr>
        <w:pStyle w:val="Heading3"/>
      </w:pPr>
      <w:r>
        <w:t>3.2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Mã</w:t>
            </w:r>
          </w:p>
        </w:tc>
        <w:tc>
          <w:tcPr>
            <w:tcW w:type="dxa" w:w="2880"/>
          </w:tcPr>
          <w:p>
            <w:r>
              <w:t>Yêu cầu sau chỉnh sửa</w:t>
            </w:r>
          </w:p>
        </w:tc>
        <w:tc>
          <w:tcPr>
            <w:tcW w:type="dxa" w:w="2880"/>
          </w:tcPr>
          <w:p>
            <w:r>
              <w:t>Priority</w:t>
            </w:r>
          </w:p>
        </w:tc>
      </w:tr>
      <w:tr>
        <w:tc>
          <w:tcPr>
            <w:tcW w:type="dxa" w:w="2880"/>
          </w:tcPr>
          <w:p>
            <w:r>
              <w:t>REQ-21</w:t>
            </w:r>
          </w:p>
        </w:tc>
        <w:tc>
          <w:tcPr>
            <w:tcW w:type="dxa" w:w="2880"/>
          </w:tcPr>
          <w:p>
            <w:r>
              <w:t>Hệ thống phải phản hồi báo giá cho khách hàng doanh nghiệp trong thời gian không quá 5 giây kể từ khi nhận đủ dữ liệu yêu cầu đặt tour, trong điều kiện máy chủ và kết nối mạng hoạt động bình thường.</w:t>
            </w:r>
          </w:p>
        </w:tc>
        <w:tc>
          <w:tcPr>
            <w:tcW w:type="dxa" w:w="2880"/>
          </w:tcPr>
          <w:p>
            <w:r>
              <w:t>Must Have</w:t>
            </w:r>
          </w:p>
        </w:tc>
      </w:tr>
      <w:tr>
        <w:tc>
          <w:tcPr>
            <w:tcW w:type="dxa" w:w="2880"/>
          </w:tcPr>
          <w:p>
            <w:r>
              <w:t>REQ-22</w:t>
            </w:r>
          </w:p>
        </w:tc>
        <w:tc>
          <w:tcPr>
            <w:tcW w:type="dxa" w:w="2880"/>
          </w:tcPr>
          <w:p>
            <w:r>
              <w:t>Khi hệ thống nhận giao dịch thanh toán thành công, số tiền đã ghi nhận bằng 100% giá trị hợp đồng và giao dịch có mã giao dịch hợp lệ, hệ thống phải tự động chuyển trạng thái đơn sang “Đã xác nhận”.</w:t>
            </w:r>
          </w:p>
        </w:tc>
        <w:tc>
          <w:tcPr>
            <w:tcW w:type="dxa" w:w="2880"/>
          </w:tcPr>
          <w:p>
            <w:r>
              <w:t>Must Have</w:t>
            </w:r>
          </w:p>
        </w:tc>
      </w:tr>
      <w:tr>
        <w:tc>
          <w:tcPr>
            <w:tcW w:type="dxa" w:w="2880"/>
          </w:tcPr>
          <w:p>
            <w:r>
              <w:t>REQ-23</w:t>
            </w:r>
          </w:p>
        </w:tc>
        <w:tc>
          <w:tcPr>
            <w:tcW w:type="dxa" w:w="2880"/>
          </w:tcPr>
          <w:p>
            <w:r>
              <w:t>Điều phối viên chỉ được chỉnh sửa báo giá khi khách hàng chưa xác nhận thanh toán. Sau khi thanh toán đủ 100% giá trị hợp đồng được xác nhận, báo giá phải được khóa.</w:t>
            </w:r>
          </w:p>
        </w:tc>
        <w:tc>
          <w:tcPr>
            <w:tcW w:type="dxa" w:w="2880"/>
          </w:tcPr>
          <w:p>
            <w:r>
              <w:t>Must Have</w:t>
            </w:r>
          </w:p>
        </w:tc>
      </w:tr>
      <w:tr>
        <w:tc>
          <w:tcPr>
            <w:tcW w:type="dxa" w:w="2880"/>
          </w:tcPr>
          <w:p>
            <w:r>
              <w:t>REQ-24</w:t>
            </w:r>
          </w:p>
        </w:tc>
        <w:tc>
          <w:tcPr>
            <w:tcW w:type="dxa" w:w="2880"/>
          </w:tcPr>
          <w:p>
            <w:r>
              <w:t>Sau khi hệ thống xác nhận khách hàng đã thanh toán đủ 100% giá trị hợp đồng, mọi thông tin thuộc báo giá phải chuyển sang trạng thái chỉ đọc và không được phép chỉnh sửa.</w:t>
            </w:r>
          </w:p>
        </w:tc>
        <w:tc>
          <w:tcPr>
            <w:tcW w:type="dxa" w:w="2880"/>
          </w:tcPr>
          <w:p>
            <w:r>
              <w:t>Must Have</w:t>
            </w:r>
          </w:p>
        </w:tc>
      </w:tr>
      <w:tr>
        <w:tc>
          <w:tcPr>
            <w:tcW w:type="dxa" w:w="2880"/>
          </w:tcPr>
          <w:p>
            <w:r>
              <w:t>REQ-25</w:t>
            </w:r>
          </w:p>
        </w:tc>
        <w:tc>
          <w:tcPr>
            <w:tcW w:type="dxa" w:w="2880"/>
          </w:tcPr>
          <w:p>
            <w:r>
              <w:t>Hệ thống có thể cung cấp chức năng xuất báo giá ra file PDF. Nếu triển khai, file PDF phải chứa mã báo giá, thông tin khách hàng, danh sách dịch vụ, tổng giá trị và thời điểm xuất file.</w:t>
            </w:r>
          </w:p>
        </w:tc>
        <w:tc>
          <w:tcPr>
            <w:tcW w:type="dxa" w:w="2880"/>
          </w:tcPr>
          <w:p>
            <w:r>
              <w:t>Should Have</w:t>
            </w:r>
          </w:p>
        </w:tc>
      </w:tr>
    </w:tbl>
    <w:p>
      <w:pPr>
        <w:pStyle w:val="Heading3"/>
      </w:pPr>
      <w:r>
        <w:t>3.4 Database Requirements</w:t>
      </w:r>
    </w:p>
    <w:p>
      <w:r>
        <w:t>ERD lưu trữ các thực thể Yêu cầu đặt tour, Báo giá và Hợp đồng, cùng các thuộc tính và mối quan hệ giữa các thực thể. ERD được đặt tại phần yêu cầu cơ sở dữ liệu thay vì mục Definitions.</w:t>
      </w:r>
    </w:p>
    <w:p>
      <w:pPr>
        <w:pStyle w:val="Heading2"/>
      </w:pPr>
      <w:r>
        <w:t>Business Rule thống nhất cho REQ-23 và REQ-24</w:t>
      </w:r>
    </w:p>
    <w:p>
      <w:r>
        <w:t>BR-01: Báo giá được phép chỉnh sửa trong thời gian khách hàng chưa xác nhận thanh toán. Ngay sau khi hệ thống xác nhận thanh toán đủ 100% giá trị hợp đồng, báo giá được khóa ở trạng thái chỉ đọc và không actor nào được phép chỉnh sửa nội dung báo giá.</w:t>
      </w:r>
    </w:p>
    <w:p>
      <w:pPr>
        <w:pStyle w:val="Heading2"/>
      </w:pPr>
      <w:r>
        <w:t>Kết quả sau chỉnh sửa</w:t>
      </w:r>
    </w:p>
    <w:p>
      <w:pPr>
        <w:pStyle w:val="ListBullet"/>
      </w:pPr>
      <w:r>
        <w:t>Actor và Use Case được đưa ra khỏi Constraints và đặt vào phần mô tả tổng quan/chức năng.</w:t>
      </w:r>
    </w:p>
    <w:p>
      <w:pPr>
        <w:pStyle w:val="ListBullet"/>
      </w:pPr>
      <w:r>
        <w:t>ERD được đưa vào Database Requirements.</w:t>
      </w:r>
    </w:p>
    <w:p>
      <w:pPr>
        <w:pStyle w:val="ListBullet"/>
      </w:pPr>
      <w:r>
        <w:t>REQ-21 có chỉ số thời gian cụ thể nên có thể kiểm thử.</w:t>
      </w:r>
    </w:p>
    <w:p>
      <w:pPr>
        <w:pStyle w:val="ListBullet"/>
      </w:pPr>
      <w:r>
        <w:t>REQ-23 và REQ-24 thống nhất theo một Business Rule duy nhất.</w:t>
      </w:r>
    </w:p>
    <w:p>
      <w:pPr>
        <w:pStyle w:val="ListBullet"/>
      </w:pPr>
      <w:r>
        <w:t>REQ-25 có mức ưu tiên rõ ràng: Should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