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aceGrotesk-bold.ttf" ContentType="application/x-font-ttf"/>
  <Override PartName="/word/fonts/SpaceGrotesk-regular.ttf" ContentType="application/x-font-ttf"/>
  <Override PartName="/word/fonts/SpaceGroteskSemiBold-bold.ttf" ContentType="application/x-font-ttf"/>
  <Override PartName="/word/fonts/SpaceGrotesk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800" w:before="0" w:line="276" w:lineRule="auto"/>
      </w:pPr>
    </w:p>
    <w:p>
      <w:pPr>
        <w:spacing w:after="720"/>
        <w:jc w:val="center"/>
      </w:pPr>
      <w:r>
        <w:drawing>
          <wp:inline>
            <wp:extent cx="2377440" cy="561878"/>
            <wp:docPr id="1" name="Picture 1"/>
            <wp:cNvGraphicFramePr>
              <a:graphicFrameLocks noChangeAspect="1"/>
            </wp:cNvGraphicFramePr>
            <a:graphic>
              <a:graphicData uri="http://schemas.openxmlformats.org/drawingml/2006/picture">
                <pic:pic>
                  <pic:nvPicPr>
                    <pic:cNvPr id="0" name="accuknox-logo-light-bg.png"/>
                    <pic:cNvPicPr/>
                  </pic:nvPicPr>
                  <pic:blipFill>
                    <a:blip r:embed="rId9"/>
                    <a:stretch>
                      <a:fillRect/>
                    </a:stretch>
                  </pic:blipFill>
                  <pic:spPr>
                    <a:xfrm>
                      <a:off x="0" y="0"/>
                      <a:ext cx="2377440" cy="561878"/>
                    </a:xfrm>
                    <a:prstGeom prst="rect"/>
                  </pic:spPr>
                </pic:pic>
              </a:graphicData>
            </a:graphic>
          </wp:inline>
        </w:drawing>
      </w:r>
    </w:p>
    <w:p>
      <w:pPr>
        <w:pStyle w:val="Title"/>
        <w:spacing w:after="80"/>
        <w:jc w:val="center"/>
      </w:pPr>
      <w:r>
        <w:rPr>
          <w:rFonts w:ascii="Space Grotesk" w:hAnsi="Space Grotesk" w:cs="Space Grotesk" w:eastAsia="Space Grotesk"/>
          <w:b/>
          <w:i w:val="0"/>
          <w:color w:val="0046FF"/>
          <w:sz w:val="68"/>
        </w:rPr>
        <w:t>AccuKnox SIEM</w:t>
      </w:r>
    </w:p>
    <w:p>
      <w:pPr>
        <w:pStyle w:val="Subtitle"/>
        <w:spacing w:after="200"/>
        <w:jc w:val="center"/>
      </w:pPr>
      <w:r>
        <w:rPr>
          <w:rFonts w:ascii="Space Grotesk" w:hAnsi="Space Grotesk" w:cs="Space Grotesk" w:eastAsia="Space Grotesk"/>
          <w:b w:val="0"/>
          <w:i w:val="0"/>
          <w:color w:val="11206D"/>
          <w:sz w:val="38"/>
        </w:rPr>
        <w:t>SIEM Deployment Proposal</w:t>
      </w:r>
    </w:p>
    <w:p>
      <w:pPr>
        <w:spacing w:after="4000" w:before="0" w:line="276" w:lineRule="auto"/>
        <w:jc w:val="center"/>
      </w:pPr>
      <w:r>
        <w:rPr>
          <w:rFonts w:ascii="Space Grotesk" w:hAnsi="Space Grotesk" w:cs="Space Grotesk" w:eastAsia="Space Grotesk"/>
          <w:b w:val="0"/>
          <w:i w:val="0"/>
          <w:color w:val="5A6478"/>
          <w:sz w:val="23"/>
        </w:rPr>
        <w:t>Unified Log Ingestion, Threat Detection &amp; Compliance-Ready Retention</w:t>
      </w:r>
    </w:p>
    <w:p>
      <w:pPr>
        <w:spacing w:after="0" w:before="0" w:line="276" w:lineRule="auto"/>
        <w:jc w:val="center"/>
      </w:pPr>
      <w:r>
        <w:rPr>
          <w:rFonts w:ascii="Space Grotesk" w:hAnsi="Space Grotesk" w:cs="Space Grotesk" w:eastAsia="Space Grotesk"/>
          <w:b w:val="0"/>
          <w:i w:val="0"/>
          <w:color w:val="5A6478"/>
          <w:sz w:val="18"/>
        </w:rPr>
        <w:t>Confidential &amp; Proprietary  |  AccuKnox</w:t>
      </w:r>
    </w:p>
    <w:p>
      <w:pPr>
        <w:pStyle w:val="Heading1"/>
        <w:keepNext/>
        <w:pageBreakBefore w:val="0"/>
        <w:spacing w:before="400" w:after="160"/>
        <w:jc w:val="left"/>
      </w:pPr>
      <w:r>
        <w:rPr>
          <w:rFonts w:ascii="Space Grotesk" w:hAnsi="Space Grotesk" w:cs="Space Grotesk" w:eastAsia="Space Grotesk"/>
          <w:b/>
          <w:i w:val="0"/>
          <w:sz w:val="36"/>
        </w:rPr>
        <w:t>Table of Contents</w:t>
      </w:r>
    </w:p>
    <w:p>
      <w:pPr>
        <w:spacing w:after="140" w:before="0" w:line="276" w:lineRule="auto"/>
        <w:ind w:left="216"/>
      </w:pPr>
      <w:r>
        <w:rPr>
          <w:rFonts w:ascii="Space Grotesk" w:hAnsi="Space Grotesk" w:cs="Space Grotesk" w:eastAsia="Space Grotesk"/>
          <w:b w:val="0"/>
          <w:i w:val="0"/>
          <w:color w:val="11206D"/>
          <w:sz w:val="22"/>
        </w:rPr>
        <w:t>Executive Summary</w:t>
      </w:r>
    </w:p>
    <w:p>
      <w:pPr>
        <w:spacing w:after="140" w:before="0" w:line="276" w:lineRule="auto"/>
        <w:ind w:left="216"/>
      </w:pPr>
      <w:r>
        <w:rPr>
          <w:rFonts w:ascii="Space Grotesk" w:hAnsi="Space Grotesk" w:cs="Space Grotesk" w:eastAsia="Space Grotesk"/>
          <w:b w:val="0"/>
          <w:i w:val="0"/>
          <w:color w:val="11206D"/>
          <w:sz w:val="22"/>
        </w:rPr>
        <w:t>Requirements Traceability</w:t>
      </w:r>
    </w:p>
    <w:p>
      <w:pPr>
        <w:spacing w:after="140" w:before="0" w:line="276" w:lineRule="auto"/>
        <w:ind w:left="216"/>
      </w:pPr>
      <w:r>
        <w:rPr>
          <w:rFonts w:ascii="Space Grotesk" w:hAnsi="Space Grotesk" w:cs="Space Grotesk" w:eastAsia="Space Grotesk"/>
          <w:b w:val="0"/>
          <w:i w:val="0"/>
          <w:color w:val="11206D"/>
          <w:sz w:val="22"/>
        </w:rPr>
        <w:t>AccuKnox SIEM: Solution Overview</w:t>
      </w:r>
    </w:p>
    <w:p>
      <w:pPr>
        <w:spacing w:after="140" w:before="0" w:line="276" w:lineRule="auto"/>
        <w:ind w:left="216"/>
      </w:pPr>
      <w:r>
        <w:rPr>
          <w:rFonts w:ascii="Space Grotesk" w:hAnsi="Space Grotesk" w:cs="Space Grotesk" w:eastAsia="Space Grotesk"/>
          <w:b w:val="0"/>
          <w:i w:val="0"/>
          <w:color w:val="11206D"/>
          <w:sz w:val="22"/>
        </w:rPr>
        <w:t>Scope of Work: Log Source Mapping</w:t>
      </w:r>
    </w:p>
    <w:p>
      <w:pPr>
        <w:spacing w:after="140" w:before="0" w:line="276" w:lineRule="auto"/>
        <w:ind w:left="216"/>
      </w:pPr>
      <w:r>
        <w:rPr>
          <w:rFonts w:ascii="Space Grotesk" w:hAnsi="Space Grotesk" w:cs="Space Grotesk" w:eastAsia="Space Grotesk"/>
          <w:b w:val="0"/>
          <w:i w:val="0"/>
          <w:color w:val="11206D"/>
          <w:sz w:val="22"/>
        </w:rPr>
        <w:t>Technical Architecture</w:t>
      </w:r>
    </w:p>
    <w:p>
      <w:pPr>
        <w:spacing w:after="140" w:before="0" w:line="276" w:lineRule="auto"/>
        <w:ind w:left="216"/>
      </w:pPr>
      <w:r>
        <w:rPr>
          <w:rFonts w:ascii="Space Grotesk" w:hAnsi="Space Grotesk" w:cs="Space Grotesk" w:eastAsia="Space Grotesk"/>
          <w:b w:val="0"/>
          <w:i w:val="0"/>
          <w:color w:val="11206D"/>
          <w:sz w:val="22"/>
        </w:rPr>
        <w:t>Platform Walkthrough</w:t>
      </w:r>
    </w:p>
    <w:p>
      <w:pPr>
        <w:spacing w:after="140" w:before="0" w:line="276" w:lineRule="auto"/>
        <w:ind w:left="216"/>
      </w:pPr>
      <w:r>
        <w:rPr>
          <w:rFonts w:ascii="Space Grotesk" w:hAnsi="Space Grotesk" w:cs="Space Grotesk" w:eastAsia="Space Grotesk"/>
          <w:b w:val="0"/>
          <w:i w:val="0"/>
          <w:color w:val="11206D"/>
          <w:sz w:val="22"/>
        </w:rPr>
        <w:t>Data Retention &amp; Storage Management</w:t>
      </w:r>
    </w:p>
    <w:p>
      <w:pPr>
        <w:spacing w:after="140" w:before="0" w:line="276" w:lineRule="auto"/>
        <w:ind w:left="216"/>
      </w:pPr>
      <w:r>
        <w:rPr>
          <w:rFonts w:ascii="Space Grotesk" w:hAnsi="Space Grotesk" w:cs="Space Grotesk" w:eastAsia="Space Grotesk"/>
          <w:b w:val="0"/>
          <w:i w:val="0"/>
          <w:color w:val="11206D"/>
          <w:sz w:val="22"/>
        </w:rPr>
        <w:t>Product Capabilities</w:t>
      </w:r>
    </w:p>
    <w:p>
      <w:pPr>
        <w:spacing w:after="140" w:before="0" w:line="276" w:lineRule="auto"/>
        <w:ind w:left="216"/>
      </w:pPr>
      <w:r>
        <w:rPr>
          <w:rFonts w:ascii="Space Grotesk" w:hAnsi="Space Grotesk" w:cs="Space Grotesk" w:eastAsia="Space Grotesk"/>
          <w:b w:val="0"/>
          <w:i w:val="0"/>
          <w:color w:val="11206D"/>
          <w:sz w:val="22"/>
        </w:rPr>
        <w:t>Integration &amp; Interoperability Strategy</w:t>
      </w:r>
    </w:p>
    <w:p>
      <w:pPr>
        <w:spacing w:after="140" w:before="0" w:line="276" w:lineRule="auto"/>
        <w:ind w:left="216"/>
      </w:pPr>
      <w:r>
        <w:rPr>
          <w:rFonts w:ascii="Space Grotesk" w:hAnsi="Space Grotesk" w:cs="Space Grotesk" w:eastAsia="Space Grotesk"/>
          <w:b w:val="0"/>
          <w:i w:val="0"/>
          <w:color w:val="11206D"/>
          <w:sz w:val="22"/>
        </w:rPr>
        <w:t>Phased Deployment Roadmap</w:t>
      </w:r>
    </w:p>
    <w:p>
      <w:pPr>
        <w:spacing w:after="140" w:before="0" w:line="276" w:lineRule="auto"/>
        <w:ind w:left="216"/>
      </w:pPr>
      <w:r>
        <w:rPr>
          <w:rFonts w:ascii="Space Grotesk" w:hAnsi="Space Grotesk" w:cs="Space Grotesk" w:eastAsia="Space Grotesk"/>
          <w:b w:val="0"/>
          <w:i w:val="0"/>
          <w:color w:val="11206D"/>
          <w:sz w:val="22"/>
        </w:rPr>
        <w:t>Security, Compliance &amp; Auditability</w:t>
      </w:r>
    </w:p>
    <w:p>
      <w:pPr>
        <w:spacing w:after="140" w:before="0" w:line="276" w:lineRule="auto"/>
        <w:ind w:left="216"/>
      </w:pPr>
      <w:r>
        <w:rPr>
          <w:rFonts w:ascii="Space Grotesk" w:hAnsi="Space Grotesk" w:cs="Space Grotesk" w:eastAsia="Space Grotesk"/>
          <w:b w:val="0"/>
          <w:i w:val="0"/>
          <w:color w:val="11206D"/>
          <w:sz w:val="22"/>
        </w:rPr>
        <w:t>Business Impact</w:t>
      </w:r>
    </w:p>
    <w:p>
      <w:pPr>
        <w:spacing w:after="140" w:before="0" w:line="276" w:lineRule="auto"/>
        <w:ind w:left="216"/>
      </w:pPr>
      <w:r>
        <w:rPr>
          <w:rFonts w:ascii="Space Grotesk" w:hAnsi="Space Grotesk" w:cs="Space Grotesk" w:eastAsia="Space Grotesk"/>
          <w:b w:val="0"/>
          <w:i w:val="0"/>
          <w:color w:val="11206D"/>
          <w:sz w:val="22"/>
        </w:rPr>
        <w:t>Support &amp; Service-Level Commitment</w:t>
      </w:r>
    </w:p>
    <w:p>
      <w:pPr>
        <w:spacing w:after="140" w:before="0" w:line="276" w:lineRule="auto"/>
        <w:ind w:left="216"/>
      </w:pPr>
      <w:r>
        <w:rPr>
          <w:rFonts w:ascii="Space Grotesk" w:hAnsi="Space Grotesk" w:cs="Space Grotesk" w:eastAsia="Space Grotesk"/>
          <w:b w:val="0"/>
          <w:i w:val="0"/>
          <w:color w:val="11206D"/>
          <w:sz w:val="22"/>
        </w:rPr>
        <w:t>Proposal Summary</w:t>
      </w:r>
    </w:p>
    <w:p>
      <w:pPr>
        <w:spacing w:after="140" w:before="0" w:line="276" w:lineRule="auto"/>
        <w:ind w:left="216"/>
      </w:pPr>
      <w:r>
        <w:rPr>
          <w:rFonts w:ascii="Space Grotesk" w:hAnsi="Space Grotesk" w:cs="Space Grotesk" w:eastAsia="Space Grotesk"/>
          <w:b w:val="0"/>
          <w:i w:val="0"/>
          <w:color w:val="11206D"/>
          <w:sz w:val="22"/>
        </w:rPr>
        <w:t>Appendix A: AccuKnox Multi-tenancy &amp; Scalability</w:t>
      </w:r>
    </w:p>
    <w:p>
      <w:pPr>
        <w:spacing w:after="140" w:before="0" w:line="276" w:lineRule="auto"/>
        <w:ind w:left="216"/>
      </w:pPr>
      <w:r>
        <w:rPr>
          <w:rFonts w:ascii="Space Grotesk" w:hAnsi="Space Grotesk" w:cs="Space Grotesk" w:eastAsia="Space Grotesk"/>
          <w:b w:val="0"/>
          <w:i w:val="0"/>
          <w:color w:val="11206D"/>
          <w:sz w:val="22"/>
        </w:rPr>
        <w:t>Appendix B: Integration Ecosystem</w:t>
      </w:r>
    </w:p>
    <w:p>
      <w:pPr>
        <w:spacing w:after="140" w:before="0" w:line="276" w:lineRule="auto"/>
        <w:ind w:left="216"/>
      </w:pPr>
      <w:r>
        <w:rPr>
          <w:rFonts w:ascii="Space Grotesk" w:hAnsi="Space Grotesk" w:cs="Space Grotesk" w:eastAsia="Space Grotesk"/>
          <w:b w:val="0"/>
          <w:i w:val="0"/>
          <w:color w:val="11206D"/>
          <w:sz w:val="22"/>
        </w:rPr>
        <w:t>Appendix C: POC Timeline &amp; Checklist</w:t>
      </w:r>
    </w:p>
    <w:p>
      <w:pPr>
        <w:spacing w:after="140" w:before="0" w:line="276" w:lineRule="auto"/>
        <w:ind w:left="216"/>
      </w:pPr>
      <w:r>
        <w:rPr>
          <w:rFonts w:ascii="Space Grotesk" w:hAnsi="Space Grotesk" w:cs="Space Grotesk" w:eastAsia="Space Grotesk"/>
          <w:b w:val="0"/>
          <w:i w:val="0"/>
          <w:color w:val="11206D"/>
          <w:sz w:val="22"/>
        </w:rPr>
        <w:t>Appendix D: Syslog Integration Approach for Firewalls</w:t>
      </w:r>
    </w:p>
    <w:p>
      <w:pPr>
        <w:pStyle w:val="Heading1"/>
        <w:keepNext/>
        <w:pageBreakBefore/>
        <w:spacing w:before="0" w:after="160"/>
        <w:jc w:val="left"/>
      </w:pPr>
      <w:r>
        <w:rPr>
          <w:rFonts w:ascii="Space Grotesk" w:hAnsi="Space Grotesk" w:cs="Space Grotesk" w:eastAsia="Space Grotesk"/>
          <w:b/>
          <w:i w:val="0"/>
          <w:sz w:val="36"/>
        </w:rPr>
        <w:t>Executive Summary</w:t>
      </w:r>
    </w:p>
    <w:p>
      <w:pPr>
        <w:spacing w:after="120" w:before="0" w:line="276" w:lineRule="auto"/>
      </w:pPr>
      <w:r>
        <w:rPr>
          <w:rFonts w:ascii="Space Grotesk" w:hAnsi="Space Grotesk" w:cs="Space Grotesk" w:eastAsia="Space Grotesk"/>
          <w:b w:val="0"/>
          <w:i w:val="0"/>
          <w:sz w:val="21"/>
        </w:rPr>
        <w:t>The organization is consolidating log visibility across its cloud, SaaS, endpoint, and network estate into a single SIEM platform, with a one-year retention window and six months of searchable data to meet audit and compliance obligations. This proposal outlines how AccuKnox SIEM meets that requirement for the fifteen log sources identified during discovery.</w:t>
      </w:r>
    </w:p>
    <w:p>
      <w:pPr>
        <w:spacing w:after="120" w:line="276" w:lineRule="auto"/>
      </w:pPr>
      <w:r>
        <w:rPr>
          <w:rFonts w:ascii="Space Grotesk" w:hAnsi="Space Grotesk" w:cs="Space Grotesk" w:eastAsia="Space Grotesk"/>
          <w:b/>
          <w:i w:val="0"/>
          <w:sz w:val="21"/>
        </w:rPr>
        <w:t xml:space="preserve">Scope of this proposal: </w:t>
      </w:r>
      <w:r>
        <w:rPr>
          <w:rFonts w:ascii="Space Grotesk" w:hAnsi="Space Grotesk" w:cs="Space Grotesk" w:eastAsia="Space Grotesk"/>
          <w:b w:val="0"/>
          <w:i w:val="0"/>
          <w:sz w:val="21"/>
        </w:rPr>
        <w:t>AccuKnox SIEM covers log ingestion, normalization, correlation, threat detection, dashboards, alerting, and compliance-ready retention and search. Automated remediation (Cloud Detection &amp; Response) is out of scope for this engagement. The organization's requirement, as scoped, is detection and monitoring only. No auto-remediation actions, playbooks, or write-access to the organization's cloud accounts are configured as part of this deployment.</w:t>
      </w:r>
    </w:p>
    <w:p>
      <w:pPr>
        <w:pStyle w:val="Heading2"/>
        <w:keepNext/>
        <w:spacing w:before="260" w:after="100"/>
        <w:jc w:val="left"/>
      </w:pPr>
      <w:r>
        <w:rPr>
          <w:rFonts w:ascii="Space Grotesk" w:hAnsi="Space Grotesk" w:cs="Space Grotesk" w:eastAsia="Space Grotesk"/>
          <w:b/>
          <w:i w:val="0"/>
          <w:sz w:val="27"/>
        </w:rPr>
        <w:t>What AccuKnox SIEM delivers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Unified log ingestion: </w:t>
      </w:r>
      <w:r>
        <w:rPr>
          <w:rFonts w:ascii="Space Grotesk" w:hAnsi="Space Grotesk" w:cs="Space Grotesk" w:eastAsia="Space Grotesk"/>
          <w:b w:val="0"/>
          <w:i w:val="0"/>
          <w:sz w:val="21"/>
        </w:rPr>
        <w:t>AWS (CloudTrail, VPC Flow Logs, WAF, Config, Route 53, Network Firewall), GCP audit/activity logs, OCI audit logs, Google Workspace, MongoDB, Slack, Jamf, Cisco Meraki, CrowdStrike FDR, AquaSec, and Palo Alto firewalls, all fifteen sources from discovery.</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Retention that meets the compliance requirement: </w:t>
      </w:r>
      <w:r>
        <w:rPr>
          <w:rFonts w:ascii="Space Grotesk" w:hAnsi="Space Grotesk" w:cs="Space Grotesk" w:eastAsia="Space Grotesk"/>
          <w:b w:val="0"/>
          <w:i w:val="0"/>
          <w:sz w:val="21"/>
        </w:rPr>
        <w:t>1-year log retention with 6 months of searchable, metadata-indexed data, plus on-demand audit log export.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Threat detection and correlation: </w:t>
      </w:r>
      <w:r>
        <w:rPr>
          <w:rFonts w:ascii="Space Grotesk" w:hAnsi="Space Grotesk" w:cs="Space Grotesk" w:eastAsia="Space Grotesk"/>
          <w:b w:val="0"/>
          <w:i w:val="0"/>
          <w:sz w:val="21"/>
        </w:rPr>
        <w:t>out-of-the-box detectors for AWS CloudTrail, GCP, and Kubernetes, custom detectors for the organization's SaaS and endpoint sources, threat intelligence enrichment, and MITRE ATT&amp;CK mapping.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Purpose-built dashboards and alerting: </w:t>
      </w:r>
      <w:r>
        <w:rPr>
          <w:rFonts w:ascii="Space Grotesk" w:hAnsi="Space Grotesk" w:cs="Space Grotesk" w:eastAsia="Space Grotesk"/>
          <w:b w:val="0"/>
          <w:i w:val="0"/>
          <w:sz w:val="21"/>
        </w:rPr>
        <w:t>custom SOC dashboards, saved searches, and notifications to Slack, Jira, ServiceNow, or email.</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Native hand-off to AccuKnox CNAPP: </w:t>
      </w:r>
      <w:r>
        <w:rPr>
          <w:rFonts w:ascii="Space Grotesk" w:hAnsi="Space Grotesk" w:cs="Space Grotesk" w:eastAsia="Space Grotesk"/>
          <w:b w:val="0"/>
          <w:i w:val="0"/>
          <w:sz w:val="21"/>
        </w:rPr>
        <w:t>SIEM findings surface in AccuKnox CNAPP's unified asset and findings view for teams already using AccuKnox CSPM/CWPP.</w:t>
      </w:r>
    </w:p>
    <w:p>
      <w:pPr>
        <w:pStyle w:val="Heading2"/>
        <w:keepNext/>
        <w:spacing w:before="260" w:after="100"/>
        <w:jc w:val="left"/>
      </w:pPr>
      <w:r>
        <w:rPr>
          <w:rFonts w:ascii="Space Grotesk" w:hAnsi="Space Grotesk" w:cs="Space Grotesk" w:eastAsia="Space Grotesk"/>
          <w:b/>
          <w:i w:val="0"/>
          <w:sz w:val="27"/>
        </w:rPr>
        <w:t>Why AccuKnox</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We meet the ingestion, retention, and detection requirements the organization outlined during discovery, using the same log sources and methods already validated on the AccuKnox platform.</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AccuKnox was founded in partnership with SRI International, the R&amp;D lab behind the computer mouse, the modem, and some of the earliest intrusion detection research, giving the detection engine a strong technical foundation.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We run a structured, time-boxed POC so the organization can validate ingestion, detection, and retention against its own data before committing to a full rollout.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Cloud-native ingestion pipelines scale to 100K events/second and 1TB/day per tenant, so the organization's log volumes are handled with headroom.</w:t>
      </w:r>
    </w:p>
    <w:p>
      <w:pPr>
        <w:pStyle w:val="Heading1"/>
        <w:keepNext/>
        <w:pageBreakBefore w:val="0"/>
        <w:spacing w:before="400" w:after="160"/>
        <w:jc w:val="left"/>
      </w:pPr>
      <w:r>
        <w:rPr>
          <w:rFonts w:ascii="Space Grotesk" w:hAnsi="Space Grotesk" w:cs="Space Grotesk" w:eastAsia="Space Grotesk"/>
          <w:b/>
          <w:i w:val="0"/>
          <w:sz w:val="36"/>
        </w:rPr>
        <w:t>Requirements Traceability</w:t>
      </w:r>
    </w:p>
    <w:p>
      <w:pPr>
        <w:spacing w:after="120" w:before="0" w:line="276" w:lineRule="auto"/>
      </w:pPr>
      <w:r>
        <w:rPr>
          <w:rFonts w:ascii="Space Grotesk" w:hAnsi="Space Grotesk" w:cs="Space Grotesk" w:eastAsia="Space Grotesk"/>
          <w:b w:val="0"/>
          <w:i w:val="0"/>
          <w:sz w:val="21"/>
        </w:rPr>
        <w:t>A quick reference confirming how this proposal addresses each requirement the organization outlined during discovery.</w:t>
      </w:r>
    </w:p>
    <w:tbl>
      <w:tblPr>
        <w:tblW w:type="auto" w:w="0"/>
        <w:jc w:val="center"/>
        <w:tblLayout w:type="fixed"/>
        <w:tblLook w:firstColumn="1" w:firstRow="1" w:lastColumn="0" w:lastRow="0" w:noHBand="0" w:noVBand="1" w:val="04A0"/>
        <w:tblBorders>
          <w:top w:val="single" w:sz="6" w:space="0" w:color="C4CCDE"/>
          <w:left w:val="single" w:sz="6" w:space="0" w:color="C4CCDE"/>
          <w:bottom w:val="single" w:sz="6" w:space="0" w:color="C4CCDE"/>
          <w:right w:val="single" w:sz="6" w:space="0" w:color="C4CCDE"/>
          <w:insideH w:val="single" w:sz="6" w:space="0" w:color="C4CCDE"/>
          <w:insideV w:val="single" w:sz="6" w:space="0" w:color="C4CCDE"/>
        </w:tblBorders>
        <w:tblCellMar>
          <w:top w:w="80" w:type="dxa"/>
          <w:left w:w="110" w:type="dxa"/>
          <w:bottom w:w="80" w:type="dxa"/>
          <w:right w:w="110" w:type="dxa"/>
        </w:tblCellMar>
      </w:tblPr>
      <w:tblGrid>
        <w:gridCol w:w="4680"/>
        <w:gridCol w:w="4680"/>
      </w:tblGrid>
      <w:tr>
        <w:trPr>
          <w:tblHeader w:val="true"/>
        </w:trPr>
        <w:tc>
          <w:tcPr>
            <w:tcW w:type="dxa" w:w="3456"/>
            <w:shd w:val="clear" w:color="auto" w:fill="11206D"/>
          </w:tcPr>
          <w:p>
            <w:pPr>
              <w:spacing w:after="0"/>
            </w:pPr>
            <w:r>
              <w:rPr>
                <w:rFonts w:ascii="Space Grotesk" w:hAnsi="Space Grotesk" w:cs="Space Grotesk" w:eastAsia="Space Grotesk"/>
                <w:b/>
                <w:i w:val="0"/>
                <w:color w:val="FFFFFF"/>
                <w:sz w:val="20"/>
              </w:rPr>
              <w:t>Customer Requirement</w:t>
            </w:r>
          </w:p>
        </w:tc>
        <w:tc>
          <w:tcPr>
            <w:tcW w:type="dxa" w:w="5904"/>
            <w:shd w:val="clear" w:color="auto" w:fill="11206D"/>
          </w:tcPr>
          <w:p>
            <w:pPr>
              <w:spacing w:after="0"/>
            </w:pPr>
            <w:r>
              <w:rPr>
                <w:rFonts w:ascii="Space Grotesk" w:hAnsi="Space Grotesk" w:cs="Space Grotesk" w:eastAsia="Space Grotesk"/>
                <w:b/>
                <w:i w:val="0"/>
                <w:color w:val="FFFFFF"/>
                <w:sz w:val="20"/>
              </w:rPr>
              <w:t>How AccuKnox SIEM Meets It</w:t>
            </w:r>
          </w:p>
        </w:tc>
      </w:tr>
      <w:tr>
        <w:tc>
          <w:tcPr>
            <w:tcW w:type="dxa" w:w="3456"/>
          </w:tcPr>
          <w:p>
            <w:pPr>
              <w:spacing w:after="0" w:line="264" w:lineRule="auto"/>
            </w:pPr>
            <w:r>
              <w:rPr>
                <w:rFonts w:ascii="Space Grotesk" w:hAnsi="Space Grotesk" w:cs="Space Grotesk" w:eastAsia="Space Grotesk"/>
                <w:b/>
                <w:i w:val="0"/>
                <w:sz w:val="19"/>
              </w:rPr>
              <w:t>All 15 log sources ingested (AWS x6, GCP, OCI, Google Workspace, MongoDB, Slack, Jamf, Meraki, CrowdStrike FDR, AquaSec, Palo Alto)</w:t>
            </w:r>
          </w:p>
        </w:tc>
        <w:tc>
          <w:tcPr>
            <w:tcW w:type="dxa" w:w="5904"/>
          </w:tcPr>
          <w:p>
            <w:pPr>
              <w:spacing w:after="0" w:line="264" w:lineRule="auto"/>
            </w:pPr>
            <w:r>
              <w:rPr>
                <w:rFonts w:ascii="Space Grotesk" w:hAnsi="Space Grotesk" w:cs="Space Grotesk" w:eastAsia="Space Grotesk"/>
                <w:b w:val="0"/>
                <w:i w:val="0"/>
                <w:sz w:val="19"/>
              </w:rPr>
              <w:t>Scope of Work table maps every source to a specific ingestion method, see the next section.</w:t>
            </w:r>
          </w:p>
        </w:tc>
      </w:tr>
      <w:tr>
        <w:tc>
          <w:tcPr>
            <w:tcW w:type="dxa" w:w="3456"/>
            <w:shd w:val="clear" w:color="auto" w:fill="EEF0F6"/>
          </w:tcPr>
          <w:p>
            <w:pPr>
              <w:spacing w:after="0" w:line="264" w:lineRule="auto"/>
            </w:pPr>
            <w:r>
              <w:rPr>
                <w:rFonts w:ascii="Space Grotesk" w:hAnsi="Space Grotesk" w:cs="Space Grotesk" w:eastAsia="Space Grotesk"/>
                <w:b/>
                <w:i w:val="0"/>
                <w:sz w:val="19"/>
              </w:rPr>
              <w:t>1-year log retention</w:t>
            </w:r>
          </w:p>
        </w:tc>
        <w:tc>
          <w:tcPr>
            <w:tcW w:type="dxa" w:w="5904"/>
            <w:shd w:val="clear" w:color="auto" w:fill="EEF0F6"/>
          </w:tcPr>
          <w:p>
            <w:pPr>
              <w:spacing w:after="0" w:line="264" w:lineRule="auto"/>
            </w:pPr>
            <w:r>
              <w:rPr>
                <w:rFonts w:ascii="Space Grotesk" w:hAnsi="Space Grotesk" w:cs="Space Grotesk" w:eastAsia="Space Grotesk"/>
                <w:b w:val="0"/>
                <w:i w:val="0"/>
                <w:sz w:val="19"/>
              </w:rPr>
              <w:t>Confirmed platform default for all onboarded sources; see Data Retention &amp; Storage Management.</w:t>
            </w:r>
          </w:p>
        </w:tc>
      </w:tr>
      <w:tr>
        <w:tc>
          <w:tcPr>
            <w:tcW w:type="dxa" w:w="3456"/>
          </w:tcPr>
          <w:p>
            <w:pPr>
              <w:spacing w:after="0" w:line="264" w:lineRule="auto"/>
            </w:pPr>
            <w:r>
              <w:rPr>
                <w:rFonts w:ascii="Space Grotesk" w:hAnsi="Space Grotesk" w:cs="Space Grotesk" w:eastAsia="Space Grotesk"/>
                <w:b/>
                <w:i w:val="0"/>
                <w:sz w:val="19"/>
              </w:rPr>
              <w:t>6 months of searchable data</w:t>
            </w:r>
          </w:p>
        </w:tc>
        <w:tc>
          <w:tcPr>
            <w:tcW w:type="dxa" w:w="5904"/>
          </w:tcPr>
          <w:p>
            <w:pPr>
              <w:spacing w:after="0" w:line="264" w:lineRule="auto"/>
            </w:pPr>
            <w:r>
              <w:rPr>
                <w:rFonts w:ascii="Space Grotesk" w:hAnsi="Space Grotesk" w:cs="Space Grotesk" w:eastAsia="Space Grotesk"/>
                <w:b w:val="0"/>
                <w:i w:val="0"/>
                <w:sz w:val="19"/>
              </w:rPr>
              <w:t>Metadata-based indexing keeps the most recent 6 months fully searchable; see Data Retention &amp; Storage Management.</w:t>
            </w:r>
          </w:p>
        </w:tc>
      </w:tr>
      <w:tr>
        <w:tc>
          <w:tcPr>
            <w:tcW w:type="dxa" w:w="3456"/>
            <w:shd w:val="clear" w:color="auto" w:fill="EEF0F6"/>
          </w:tcPr>
          <w:p>
            <w:pPr>
              <w:spacing w:after="0" w:line="264" w:lineRule="auto"/>
            </w:pPr>
            <w:r>
              <w:rPr>
                <w:rFonts w:ascii="Space Grotesk" w:hAnsi="Space Grotesk" w:cs="Space Grotesk" w:eastAsia="Space Grotesk"/>
                <w:b/>
                <w:i w:val="0"/>
                <w:sz w:val="19"/>
              </w:rPr>
              <w:t>Compliance/audit readiness</w:t>
            </w:r>
          </w:p>
        </w:tc>
        <w:tc>
          <w:tcPr>
            <w:tcW w:type="dxa" w:w="5904"/>
            <w:shd w:val="clear" w:color="auto" w:fill="EEF0F6"/>
          </w:tcPr>
          <w:p>
            <w:pPr>
              <w:spacing w:after="0" w:line="264" w:lineRule="auto"/>
            </w:pPr>
            <w:r>
              <w:rPr>
                <w:rFonts w:ascii="Space Grotesk" w:hAnsi="Space Grotesk" w:cs="Space Grotesk" w:eastAsia="Space Grotesk"/>
                <w:b w:val="0"/>
                <w:i w:val="0"/>
                <w:sz w:val="19"/>
              </w:rPr>
              <w:t>On-demand and scheduled audit log export (JSON/CSV); see Security, Compliance &amp; Auditability.</w:t>
            </w:r>
          </w:p>
        </w:tc>
      </w:tr>
      <w:tr>
        <w:tc>
          <w:tcPr>
            <w:tcW w:type="dxa" w:w="3456"/>
          </w:tcPr>
          <w:p>
            <w:pPr>
              <w:spacing w:after="0" w:line="264" w:lineRule="auto"/>
            </w:pPr>
            <w:r>
              <w:rPr>
                <w:rFonts w:ascii="Space Grotesk" w:hAnsi="Space Grotesk" w:cs="Space Grotesk" w:eastAsia="Space Grotesk"/>
                <w:b/>
                <w:i w:val="0"/>
                <w:sz w:val="19"/>
              </w:rPr>
              <w:t>Syslog-only firewalls (Meraki, Palo Alto) supported</w:t>
            </w:r>
          </w:p>
        </w:tc>
        <w:tc>
          <w:tcPr>
            <w:tcW w:type="dxa" w:w="5904"/>
          </w:tcPr>
          <w:p>
            <w:pPr>
              <w:spacing w:after="0" w:line="264" w:lineRule="auto"/>
            </w:pPr>
            <w:r>
              <w:rPr>
                <w:rFonts w:ascii="Space Grotesk" w:hAnsi="Space Grotesk" w:cs="Space Grotesk" w:eastAsia="Space Grotesk"/>
                <w:b w:val="0"/>
                <w:i w:val="0"/>
                <w:sz w:val="19"/>
              </w:rPr>
              <w:t>Syslog-to-JSON middleware VM architecture; see Appendix D.</w:t>
            </w:r>
          </w:p>
        </w:tc>
      </w:tr>
    </w:tbl>
    <w:p>
      <w:pPr>
        <w:spacing w:after="120" w:before="0" w:line="276" w:lineRule="auto"/>
      </w:pPr>
    </w:p>
    <w:p>
      <w:pPr>
        <w:pStyle w:val="Heading1"/>
        <w:keepNext/>
        <w:pageBreakBefore w:val="0"/>
        <w:spacing w:before="400" w:after="160"/>
        <w:jc w:val="left"/>
      </w:pPr>
      <w:r>
        <w:rPr>
          <w:rFonts w:ascii="Space Grotesk" w:hAnsi="Space Grotesk" w:cs="Space Grotesk" w:eastAsia="Space Grotesk"/>
          <w:b/>
          <w:i w:val="0"/>
          <w:sz w:val="36"/>
        </w:rPr>
        <w:t>AccuKnox SIEM: Solution Overview</w:t>
      </w:r>
    </w:p>
    <w:p>
      <w:pPr>
        <w:spacing w:after="120" w:before="0" w:line="276" w:lineRule="auto"/>
      </w:pPr>
      <w:r>
        <w:rPr>
          <w:rFonts w:ascii="Space Grotesk" w:hAnsi="Space Grotesk" w:cs="Space Grotesk" w:eastAsia="Space Grotesk"/>
          <w:b w:val="0"/>
          <w:i w:val="0"/>
          <w:sz w:val="21"/>
        </w:rPr>
        <w:t>AccuKnox SIEM is a cloud-native log ingestion, correlation, and threat-detection platform, available as a SaaS deployment at siem.accuknox.com. It is a distinct product from AccuKnox CNAPP, with a native integration between the two: SIEM detections and threat-analysis alerts surface directly inside the CNAPP console, so teams already using AccuKnox for CSPM or CWPP get a single pane of glass for findings.</w:t>
      </w:r>
    </w:p>
    <w:p>
      <w:pPr>
        <w:spacing w:before="160" w:after="60"/>
        <w:jc w:val="center"/>
      </w:pPr>
      <w:r>
        <w:drawing>
          <wp:inline>
            <wp:extent cx="5486400" cy="2547449"/>
            <wp:docPr id="2" name="Picture 2"/>
            <wp:cNvGraphicFramePr>
              <a:graphicFrameLocks noChangeAspect="1"/>
            </wp:cNvGraphicFramePr>
            <a:graphic>
              <a:graphicData uri="http://schemas.openxmlformats.org/drawingml/2006/picture">
                <pic:pic>
                  <pic:nvPicPr>
                    <pic:cNvPr id="0" name="p05_x23.png"/>
                    <pic:cNvPicPr/>
                  </pic:nvPicPr>
                  <pic:blipFill>
                    <a:blip r:embed="rId10"/>
                    <a:stretch>
                      <a:fillRect/>
                    </a:stretch>
                  </pic:blipFill>
                  <pic:spPr>
                    <a:xfrm>
                      <a:off x="0" y="0"/>
                      <a:ext cx="5486400" cy="2547449"/>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1. AccuKnox SIEM data flow: sources, ingestion, detection, and downstream channels.</w:t>
      </w:r>
    </w:p>
    <w:p>
      <w:pPr>
        <w:pStyle w:val="Heading2"/>
        <w:keepNext/>
        <w:spacing w:before="260" w:after="100"/>
        <w:jc w:val="left"/>
      </w:pPr>
      <w:r>
        <w:rPr>
          <w:rFonts w:ascii="Space Grotesk" w:hAnsi="Space Grotesk" w:cs="Space Grotesk" w:eastAsia="Space Grotesk"/>
          <w:b/>
          <w:i w:val="0"/>
          <w:sz w:val="27"/>
        </w:rPr>
        <w:t>Core capabilities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Data/log ingestion: </w:t>
      </w:r>
      <w:r>
        <w:rPr>
          <w:rFonts w:ascii="Space Grotesk" w:hAnsi="Space Grotesk" w:cs="Space Grotesk" w:eastAsia="Space Grotesk"/>
          <w:b w:val="0"/>
          <w:i w:val="0"/>
          <w:sz w:val="21"/>
        </w:rPr>
        <w:t>LogStash, Bulk API, and Data Prepper connectors covering HTTP, Kafka, OTel, S3, Kinesis, DynamoDB, DocumentDB, and Fluentd inputs, in addition to native cloud log sinks and vendor APIs.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Extensive integration coverage: </w:t>
      </w:r>
      <w:r>
        <w:rPr>
          <w:rFonts w:ascii="Space Grotesk" w:hAnsi="Space Grotesk" w:cs="Space Grotesk" w:eastAsia="Space Grotesk"/>
          <w:b w:val="0"/>
          <w:i w:val="0"/>
          <w:sz w:val="21"/>
        </w:rPr>
        <w:t>cloud platforms, identity providers, SaaS applications, endpoint agents, firewalls (via syslog), and Kubernetes. See the Scope of Work below for the organization's specific set, and Appendix B for the full platform catalog.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Threat analysis: </w:t>
      </w:r>
      <w:r>
        <w:rPr>
          <w:rFonts w:ascii="Space Grotesk" w:hAnsi="Space Grotesk" w:cs="Space Grotesk" w:eastAsia="Space Grotesk"/>
          <w:b w:val="0"/>
          <w:i w:val="0"/>
          <w:sz w:val="21"/>
        </w:rPr>
        <w:t>multivector correlation across cloud, identity, and network events, with anomaly detection and threat hunting built in.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Threat intelligence enrichment: </w:t>
      </w:r>
      <w:r>
        <w:rPr>
          <w:rFonts w:ascii="Space Grotesk" w:hAnsi="Space Grotesk" w:cs="Space Grotesk" w:eastAsia="Space Grotesk"/>
          <w:b w:val="0"/>
          <w:i w:val="0"/>
          <w:sz w:val="21"/>
        </w:rPr>
        <w:t>alerts are enriched against external threat intel sources (including AlienVault) for IP and domain reputation.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Snapshots: </w:t>
      </w:r>
      <w:r>
        <w:rPr>
          <w:rFonts w:ascii="Space Grotesk" w:hAnsi="Space Grotesk" w:cs="Space Grotesk" w:eastAsia="Space Grotesk"/>
          <w:b w:val="0"/>
          <w:i w:val="0"/>
          <w:sz w:val="21"/>
        </w:rPr>
        <w:t>periodic snapshots of indexed data support recoverability and business continuity.</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Native CNAPP integration: </w:t>
      </w:r>
      <w:r>
        <w:rPr>
          <w:rFonts w:ascii="Space Grotesk" w:hAnsi="Space Grotesk" w:cs="Space Grotesk" w:eastAsia="Space Grotesk"/>
          <w:b w:val="0"/>
          <w:i w:val="0"/>
          <w:sz w:val="21"/>
        </w:rPr>
        <w:t>SIEM alerts and cloud telemetry feed directly into AccuKnox CNAPP's asset and findings views. CNAPP calls SIEM APIs for CloudTrail and cloud access data, and KubeArmor runtime events flow in as a custom SIEM log type with purpose-built detectors.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External channel integrations: </w:t>
      </w:r>
      <w:r>
        <w:rPr>
          <w:rFonts w:ascii="Space Grotesk" w:hAnsi="Space Grotesk" w:cs="Space Grotesk" w:eastAsia="Space Grotesk"/>
          <w:b w:val="0"/>
          <w:i w:val="0"/>
          <w:sz w:val="21"/>
        </w:rPr>
        <w:t>Slack, webhooks, and Amazon SNS for downstream notification and ticketing workflows.</w:t>
      </w:r>
    </w:p>
    <w:p>
      <w:pPr>
        <w:pStyle w:val="Heading2"/>
        <w:keepNext/>
        <w:spacing w:before="260" w:after="100"/>
        <w:jc w:val="left"/>
      </w:pPr>
      <w:r>
        <w:rPr>
          <w:rFonts w:ascii="Space Grotesk" w:hAnsi="Space Grotesk" w:cs="Space Grotesk" w:eastAsia="Space Grotesk"/>
          <w:b/>
          <w:i w:val="0"/>
          <w:sz w:val="27"/>
        </w:rPr>
        <w:t>Ingestion at scale, per tenant</w:t>
      </w:r>
    </w:p>
    <w:p>
      <w:pPr>
        <w:spacing w:after="120" w:before="0" w:line="276" w:lineRule="auto"/>
      </w:pPr>
      <w:r>
        <w:rPr>
          <w:rFonts w:ascii="Space Grotesk" w:hAnsi="Space Grotesk" w:cs="Space Grotesk" w:eastAsia="Space Grotesk"/>
          <w:b w:val="0"/>
          <w:i w:val="0"/>
          <w:sz w:val="21"/>
        </w:rPr>
        <w:t>Each tenant's ingestion runs through its own isolated pipeline inside the AccuKnox SIEM Kubernetes cluster. The organization's data would land in its own namespace (for example, tenant.accuknox.com) with a dedicated ingestion pipeline, separate from every other tenant on the platform. Cloud telemetry, endpoint data, and syslog sources all flow through this per-tenant pipeline into the shared storage backend, which is what lets the platform scale to 100K events/second and 1TB/day per tenant without one tenant's volume affecting another's.</w:t>
      </w:r>
    </w:p>
    <w:p>
      <w:pPr>
        <w:pStyle w:val="Heading2"/>
        <w:keepNext/>
        <w:spacing w:before="260" w:after="100"/>
        <w:jc w:val="left"/>
      </w:pPr>
      <w:r>
        <w:rPr>
          <w:rFonts w:ascii="Space Grotesk" w:hAnsi="Space Grotesk" w:cs="Space Grotesk" w:eastAsia="Space Grotesk"/>
          <w:b/>
          <w:i w:val="0"/>
          <w:sz w:val="27"/>
        </w:rPr>
        <w:t>AskADA: GenAI-powered SOC copilot</w:t>
      </w:r>
    </w:p>
    <w:p>
      <w:pPr>
        <w:spacing w:after="120" w:before="0" w:line="276" w:lineRule="auto"/>
      </w:pPr>
      <w:r>
        <w:rPr>
          <w:rFonts w:ascii="Space Grotesk" w:hAnsi="Space Grotesk" w:cs="Space Grotesk" w:eastAsia="Space Grotesk"/>
          <w:b w:val="0"/>
          <w:i w:val="0"/>
          <w:sz w:val="21"/>
        </w:rPr>
        <w:t>AccuKnox AskADA is a GenAI copilot that runs on top of SIEM and CNAPP data. It performs multivector threat analysis by combining the organization's own findings and telemetry with external threat-intelligence sources, giving the organization's SOC analysts faster triage and analysis across cloud and endpoint assets without manually pivoting between tools.</w:t>
      </w:r>
    </w:p>
    <w:p>
      <w:pPr>
        <w:pStyle w:val="Heading2"/>
        <w:keepNext/>
        <w:spacing w:before="260" w:after="100"/>
        <w:jc w:val="left"/>
      </w:pPr>
      <w:r>
        <w:rPr>
          <w:rFonts w:ascii="Space Grotesk" w:hAnsi="Space Grotesk" w:cs="Space Grotesk" w:eastAsia="Space Grotesk"/>
          <w:b/>
          <w:i w:val="0"/>
          <w:sz w:val="27"/>
        </w:rPr>
        <w:t>Platform differentiation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Custom rules and detectors across syslog, KubeArmor, EDR, CloudTrail, and O365 log types, not just a fixed rule pack.</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MITRE ATT&amp;CK alignment spans Cloud, Container, and Endpoint tactics, not just cloud API calls.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Low-cost ingestion, storage, and processing architecture, which is what keeps per-GB retention costs down over a 1-year window.</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Correlation and prioritization are built to reduce SOC analyst hours spent triaging noise, not just to generate more alerts.</w:t>
      </w:r>
    </w:p>
    <w:p>
      <w:pPr>
        <w:pStyle w:val="Heading1"/>
        <w:keepNext/>
        <w:pageBreakBefore/>
        <w:spacing w:before="0" w:after="160"/>
        <w:jc w:val="left"/>
      </w:pPr>
      <w:r>
        <w:rPr>
          <w:rFonts w:ascii="Space Grotesk" w:hAnsi="Space Grotesk" w:cs="Space Grotesk" w:eastAsia="Space Grotesk"/>
          <w:b/>
          <w:i w:val="0"/>
          <w:sz w:val="36"/>
        </w:rPr>
        <w:t>Scope of Work: Log Source Mapping</w:t>
      </w:r>
    </w:p>
    <w:p>
      <w:pPr>
        <w:spacing w:after="120" w:before="0" w:line="276" w:lineRule="auto"/>
      </w:pPr>
      <w:r>
        <w:rPr>
          <w:rFonts w:ascii="Space Grotesk" w:hAnsi="Space Grotesk" w:cs="Space Grotesk" w:eastAsia="Space Grotesk"/>
          <w:b w:val="0"/>
          <w:i w:val="0"/>
          <w:sz w:val="21"/>
        </w:rPr>
        <w:t>The table below maps each of the fifteen log sources identified during discovery to its ingestion method on AccuKnox SIEM. Sources fall into three categories: cloud platforms ingested through each provider's native logging service, SaaS/endpoint tools connected through vendor APIs, and syslog-only firewalls that route through a lightweight middleware VM.</w:t>
      </w:r>
    </w:p>
    <w:tbl>
      <w:tblPr>
        <w:tblW w:type="auto" w:w="0"/>
        <w:jc w:val="center"/>
        <w:tblLayout w:type="fixed"/>
        <w:tblLook w:firstColumn="1" w:firstRow="1" w:lastColumn="0" w:lastRow="0" w:noHBand="0" w:noVBand="1" w:val="04A0"/>
        <w:tblBorders>
          <w:top w:val="single" w:sz="6" w:space="0" w:color="C4CCDE"/>
          <w:left w:val="single" w:sz="6" w:space="0" w:color="C4CCDE"/>
          <w:bottom w:val="single" w:sz="6" w:space="0" w:color="C4CCDE"/>
          <w:right w:val="single" w:sz="6" w:space="0" w:color="C4CCDE"/>
          <w:insideH w:val="single" w:sz="6" w:space="0" w:color="C4CCDE"/>
          <w:insideV w:val="single" w:sz="6" w:space="0" w:color="C4CCDE"/>
        </w:tblBorders>
        <w:tblCellMar>
          <w:top w:w="80" w:type="dxa"/>
          <w:left w:w="110" w:type="dxa"/>
          <w:bottom w:w="80" w:type="dxa"/>
          <w:right w:w="110" w:type="dxa"/>
        </w:tblCellMar>
      </w:tblPr>
      <w:tblGrid>
        <w:gridCol w:w="3120"/>
        <w:gridCol w:w="3120"/>
        <w:gridCol w:w="3120"/>
      </w:tblGrid>
      <w:tr>
        <w:trPr>
          <w:tblHeader w:val="true"/>
        </w:trPr>
        <w:tc>
          <w:tcPr>
            <w:tcW w:type="dxa" w:w="2160"/>
            <w:shd w:val="clear" w:color="auto" w:fill="11206D"/>
          </w:tcPr>
          <w:p>
            <w:pPr>
              <w:spacing w:after="0"/>
            </w:pPr>
            <w:r>
              <w:rPr>
                <w:rFonts w:ascii="Space Grotesk" w:hAnsi="Space Grotesk" w:cs="Space Grotesk" w:eastAsia="Space Grotesk"/>
                <w:b/>
                <w:i w:val="0"/>
                <w:color w:val="FFFFFF"/>
                <w:sz w:val="20"/>
              </w:rPr>
              <w:t>Log Source</w:t>
            </w:r>
          </w:p>
        </w:tc>
        <w:tc>
          <w:tcPr>
            <w:tcW w:type="dxa" w:w="3024"/>
            <w:shd w:val="clear" w:color="auto" w:fill="11206D"/>
          </w:tcPr>
          <w:p>
            <w:pPr>
              <w:spacing w:after="0"/>
            </w:pPr>
            <w:r>
              <w:rPr>
                <w:rFonts w:ascii="Space Grotesk" w:hAnsi="Space Grotesk" w:cs="Space Grotesk" w:eastAsia="Space Grotesk"/>
                <w:b/>
                <w:i w:val="0"/>
                <w:color w:val="FFFFFF"/>
                <w:sz w:val="20"/>
              </w:rPr>
              <w:t>Ingestion Method</w:t>
            </w:r>
          </w:p>
        </w:tc>
        <w:tc>
          <w:tcPr>
            <w:tcW w:type="dxa" w:w="4176"/>
            <w:shd w:val="clear" w:color="auto" w:fill="11206D"/>
          </w:tcPr>
          <w:p>
            <w:pPr>
              <w:spacing w:after="0"/>
            </w:pPr>
            <w:r>
              <w:rPr>
                <w:rFonts w:ascii="Space Grotesk" w:hAnsi="Space Grotesk" w:cs="Space Grotesk" w:eastAsia="Space Grotesk"/>
                <w:b/>
                <w:i w:val="0"/>
                <w:color w:val="FFFFFF"/>
                <w:sz w:val="20"/>
              </w:rPr>
              <w:t>Notes</w:t>
            </w:r>
          </w:p>
        </w:tc>
      </w:tr>
      <w:tr>
        <w:tc>
          <w:tcPr>
            <w:tcW w:type="dxa" w:w="2160"/>
          </w:tcPr>
          <w:p>
            <w:pPr>
              <w:spacing w:after="0" w:line="264" w:lineRule="auto"/>
            </w:pPr>
            <w:r>
              <w:rPr>
                <w:rFonts w:ascii="Space Grotesk" w:hAnsi="Space Grotesk" w:cs="Space Grotesk" w:eastAsia="Space Grotesk"/>
                <w:b/>
                <w:i w:val="0"/>
                <w:sz w:val="19"/>
              </w:rPr>
              <w:t>AWS CloudTrail</w:t>
            </w:r>
          </w:p>
        </w:tc>
        <w:tc>
          <w:tcPr>
            <w:tcW w:type="dxa" w:w="3024"/>
          </w:tcPr>
          <w:p>
            <w:pPr>
              <w:spacing w:after="0" w:line="264" w:lineRule="auto"/>
            </w:pPr>
            <w:r>
              <w:rPr>
                <w:rFonts w:ascii="Space Grotesk" w:hAnsi="Space Grotesk" w:cs="Space Grotesk" w:eastAsia="Space Grotesk"/>
                <w:b w:val="0"/>
                <w:i w:val="0"/>
                <w:sz w:val="19"/>
              </w:rPr>
              <w:t>Native, AWS CloudTrail via scoped IAM role</w:t>
            </w:r>
          </w:p>
        </w:tc>
        <w:tc>
          <w:tcPr>
            <w:tcW w:type="dxa" w:w="4176"/>
          </w:tcPr>
          <w:p>
            <w:pPr>
              <w:spacing w:after="0" w:line="264" w:lineRule="auto"/>
            </w:pPr>
            <w:r>
              <w:rPr>
                <w:rFonts w:ascii="Space Grotesk" w:hAnsi="Space Grotesk" w:cs="Space Grotesk" w:eastAsia="Space Grotesk"/>
                <w:b w:val="0"/>
                <w:i w:val="0"/>
                <w:sz w:val="19"/>
              </w:rPr>
              <w:t>Management and data events; onboarded via the standard AWS CloudFormation onboarding stack.</w:t>
            </w:r>
          </w:p>
        </w:tc>
      </w:tr>
      <w:tr>
        <w:tc>
          <w:tcPr>
            <w:tcW w:type="dxa" w:w="2160"/>
            <w:shd w:val="clear" w:color="auto" w:fill="EEF0F6"/>
          </w:tcPr>
          <w:p>
            <w:pPr>
              <w:spacing w:after="0" w:line="264" w:lineRule="auto"/>
            </w:pPr>
            <w:r>
              <w:rPr>
                <w:rFonts w:ascii="Space Grotesk" w:hAnsi="Space Grotesk" w:cs="Space Grotesk" w:eastAsia="Space Grotesk"/>
                <w:b/>
                <w:i w:val="0"/>
                <w:sz w:val="19"/>
              </w:rPr>
              <w:t>AWS VPC Flow Logs</w:t>
            </w:r>
          </w:p>
        </w:tc>
        <w:tc>
          <w:tcPr>
            <w:tcW w:type="dxa" w:w="3024"/>
            <w:shd w:val="clear" w:color="auto" w:fill="EEF0F6"/>
          </w:tcPr>
          <w:p>
            <w:pPr>
              <w:spacing w:after="0" w:line="264" w:lineRule="auto"/>
            </w:pPr>
            <w:r>
              <w:rPr>
                <w:rFonts w:ascii="Space Grotesk" w:hAnsi="Space Grotesk" w:cs="Space Grotesk" w:eastAsia="Space Grotesk"/>
                <w:b w:val="0"/>
                <w:i w:val="0"/>
                <w:sz w:val="19"/>
              </w:rPr>
              <w:t>Native, CloudWatch Logs / S3 export</w:t>
            </w:r>
          </w:p>
        </w:tc>
        <w:tc>
          <w:tcPr>
            <w:tcW w:type="dxa" w:w="4176"/>
            <w:shd w:val="clear" w:color="auto" w:fill="EEF0F6"/>
          </w:tcPr>
          <w:p>
            <w:pPr>
              <w:spacing w:after="0" w:line="264" w:lineRule="auto"/>
            </w:pPr>
            <w:r>
              <w:rPr>
                <w:rFonts w:ascii="Space Grotesk" w:hAnsi="Space Grotesk" w:cs="Space Grotesk" w:eastAsia="Space Grotesk"/>
                <w:b w:val="0"/>
                <w:i w:val="0"/>
                <w:sz w:val="19"/>
              </w:rPr>
              <w:t>Same AWS onboarding stack as CloudTrail; no separate agent.</w:t>
            </w:r>
          </w:p>
        </w:tc>
      </w:tr>
      <w:tr>
        <w:tc>
          <w:tcPr>
            <w:tcW w:type="dxa" w:w="2160"/>
          </w:tcPr>
          <w:p>
            <w:pPr>
              <w:spacing w:after="0" w:line="264" w:lineRule="auto"/>
            </w:pPr>
            <w:r>
              <w:rPr>
                <w:rFonts w:ascii="Space Grotesk" w:hAnsi="Space Grotesk" w:cs="Space Grotesk" w:eastAsia="Space Grotesk"/>
                <w:b/>
                <w:i w:val="0"/>
                <w:sz w:val="19"/>
              </w:rPr>
              <w:t>AWS WAF</w:t>
            </w:r>
          </w:p>
        </w:tc>
        <w:tc>
          <w:tcPr>
            <w:tcW w:type="dxa" w:w="3024"/>
          </w:tcPr>
          <w:p>
            <w:pPr>
              <w:spacing w:after="0" w:line="264" w:lineRule="auto"/>
            </w:pPr>
            <w:r>
              <w:rPr>
                <w:rFonts w:ascii="Space Grotesk" w:hAnsi="Space Grotesk" w:cs="Space Grotesk" w:eastAsia="Space Grotesk"/>
                <w:b w:val="0"/>
                <w:i w:val="0"/>
                <w:sz w:val="19"/>
              </w:rPr>
              <w:t>Native, S3 / Kinesis Firehose log export</w:t>
            </w:r>
          </w:p>
        </w:tc>
        <w:tc>
          <w:tcPr>
            <w:tcW w:type="dxa" w:w="4176"/>
          </w:tcPr>
          <w:p>
            <w:pPr>
              <w:spacing w:after="0" w:line="264" w:lineRule="auto"/>
            </w:pPr>
            <w:r>
              <w:rPr>
                <w:rFonts w:ascii="Space Grotesk" w:hAnsi="Space Grotesk" w:cs="Space Grotesk" w:eastAsia="Space Grotesk"/>
                <w:b w:val="0"/>
                <w:i w:val="0"/>
                <w:sz w:val="19"/>
              </w:rPr>
              <w:t>Web ACL logs delivered via existing AWS onboarding.</w:t>
            </w:r>
          </w:p>
        </w:tc>
      </w:tr>
      <w:tr>
        <w:tc>
          <w:tcPr>
            <w:tcW w:type="dxa" w:w="2160"/>
            <w:shd w:val="clear" w:color="auto" w:fill="EEF0F6"/>
          </w:tcPr>
          <w:p>
            <w:pPr>
              <w:spacing w:after="0" w:line="264" w:lineRule="auto"/>
            </w:pPr>
            <w:r>
              <w:rPr>
                <w:rFonts w:ascii="Space Grotesk" w:hAnsi="Space Grotesk" w:cs="Space Grotesk" w:eastAsia="Space Grotesk"/>
                <w:b/>
                <w:i w:val="0"/>
                <w:sz w:val="19"/>
              </w:rPr>
              <w:t>AWS Config</w:t>
            </w:r>
          </w:p>
        </w:tc>
        <w:tc>
          <w:tcPr>
            <w:tcW w:type="dxa" w:w="3024"/>
            <w:shd w:val="clear" w:color="auto" w:fill="EEF0F6"/>
          </w:tcPr>
          <w:p>
            <w:pPr>
              <w:spacing w:after="0" w:line="264" w:lineRule="auto"/>
            </w:pPr>
            <w:r>
              <w:rPr>
                <w:rFonts w:ascii="Space Grotesk" w:hAnsi="Space Grotesk" w:cs="Space Grotesk" w:eastAsia="Space Grotesk"/>
                <w:b w:val="0"/>
                <w:i w:val="0"/>
                <w:sz w:val="19"/>
              </w:rPr>
              <w:t>Native, S3 export of Config snapshots and history</w:t>
            </w:r>
          </w:p>
        </w:tc>
        <w:tc>
          <w:tcPr>
            <w:tcW w:type="dxa" w:w="4176"/>
            <w:shd w:val="clear" w:color="auto" w:fill="EEF0F6"/>
          </w:tcPr>
          <w:p>
            <w:pPr>
              <w:spacing w:after="0" w:line="264" w:lineRule="auto"/>
            </w:pPr>
            <w:r>
              <w:rPr>
                <w:rFonts w:ascii="Space Grotesk" w:hAnsi="Space Grotesk" w:cs="Space Grotesk" w:eastAsia="Space Grotesk"/>
                <w:b w:val="0"/>
                <w:i w:val="0"/>
                <w:sz w:val="19"/>
              </w:rPr>
              <w:t>Same AWS onboarding stack.</w:t>
            </w:r>
          </w:p>
        </w:tc>
      </w:tr>
      <w:tr>
        <w:tc>
          <w:tcPr>
            <w:tcW w:type="dxa" w:w="2160"/>
          </w:tcPr>
          <w:p>
            <w:pPr>
              <w:spacing w:after="0" w:line="264" w:lineRule="auto"/>
            </w:pPr>
            <w:r>
              <w:rPr>
                <w:rFonts w:ascii="Space Grotesk" w:hAnsi="Space Grotesk" w:cs="Space Grotesk" w:eastAsia="Space Grotesk"/>
                <w:b/>
                <w:i w:val="0"/>
                <w:sz w:val="19"/>
              </w:rPr>
              <w:t>Route 53</w:t>
            </w:r>
          </w:p>
        </w:tc>
        <w:tc>
          <w:tcPr>
            <w:tcW w:type="dxa" w:w="3024"/>
          </w:tcPr>
          <w:p>
            <w:pPr>
              <w:spacing w:after="0" w:line="264" w:lineRule="auto"/>
            </w:pPr>
            <w:r>
              <w:rPr>
                <w:rFonts w:ascii="Space Grotesk" w:hAnsi="Space Grotesk" w:cs="Space Grotesk" w:eastAsia="Space Grotesk"/>
                <w:b w:val="0"/>
                <w:i w:val="0"/>
                <w:sz w:val="19"/>
              </w:rPr>
              <w:t>Native, CloudWatch Logs (query logging)</w:t>
            </w:r>
          </w:p>
        </w:tc>
        <w:tc>
          <w:tcPr>
            <w:tcW w:type="dxa" w:w="4176"/>
          </w:tcPr>
          <w:p>
            <w:pPr>
              <w:spacing w:after="0" w:line="264" w:lineRule="auto"/>
            </w:pPr>
            <w:r>
              <w:rPr>
                <w:rFonts w:ascii="Space Grotesk" w:hAnsi="Space Grotesk" w:cs="Space Grotesk" w:eastAsia="Space Grotesk"/>
                <w:b w:val="0"/>
                <w:i w:val="0"/>
                <w:sz w:val="19"/>
              </w:rPr>
              <w:t>Same AWS onboarding stack.</w:t>
            </w:r>
          </w:p>
        </w:tc>
      </w:tr>
      <w:tr>
        <w:tc>
          <w:tcPr>
            <w:tcW w:type="dxa" w:w="2160"/>
            <w:shd w:val="clear" w:color="auto" w:fill="EEF0F6"/>
          </w:tcPr>
          <w:p>
            <w:pPr>
              <w:spacing w:after="0" w:line="264" w:lineRule="auto"/>
            </w:pPr>
            <w:r>
              <w:rPr>
                <w:rFonts w:ascii="Space Grotesk" w:hAnsi="Space Grotesk" w:cs="Space Grotesk" w:eastAsia="Space Grotesk"/>
                <w:b/>
                <w:i w:val="0"/>
                <w:sz w:val="19"/>
              </w:rPr>
              <w:t>AWS Network Firewall</w:t>
            </w:r>
          </w:p>
        </w:tc>
        <w:tc>
          <w:tcPr>
            <w:tcW w:type="dxa" w:w="3024"/>
            <w:shd w:val="clear" w:color="auto" w:fill="EEF0F6"/>
          </w:tcPr>
          <w:p>
            <w:pPr>
              <w:spacing w:after="0" w:line="264" w:lineRule="auto"/>
            </w:pPr>
            <w:r>
              <w:rPr>
                <w:rFonts w:ascii="Space Grotesk" w:hAnsi="Space Grotesk" w:cs="Space Grotesk" w:eastAsia="Space Grotesk"/>
                <w:b w:val="0"/>
                <w:i w:val="0"/>
                <w:sz w:val="19"/>
              </w:rPr>
              <w:t>Native, CloudWatch Logs / S3 export</w:t>
            </w:r>
          </w:p>
        </w:tc>
        <w:tc>
          <w:tcPr>
            <w:tcW w:type="dxa" w:w="4176"/>
            <w:shd w:val="clear" w:color="auto" w:fill="EEF0F6"/>
          </w:tcPr>
          <w:p>
            <w:pPr>
              <w:spacing w:after="0" w:line="264" w:lineRule="auto"/>
            </w:pPr>
            <w:r>
              <w:rPr>
                <w:rFonts w:ascii="Space Grotesk" w:hAnsi="Space Grotesk" w:cs="Space Grotesk" w:eastAsia="Space Grotesk"/>
                <w:b w:val="0"/>
                <w:i w:val="0"/>
                <w:sz w:val="19"/>
              </w:rPr>
              <w:t>Flow and alert logs; same AWS onboarding stack.</w:t>
            </w:r>
          </w:p>
        </w:tc>
      </w:tr>
      <w:tr>
        <w:tc>
          <w:tcPr>
            <w:tcW w:type="dxa" w:w="2160"/>
          </w:tcPr>
          <w:p>
            <w:pPr>
              <w:spacing w:after="0" w:line="264" w:lineRule="auto"/>
            </w:pPr>
            <w:r>
              <w:rPr>
                <w:rFonts w:ascii="Space Grotesk" w:hAnsi="Space Grotesk" w:cs="Space Grotesk" w:eastAsia="Space Grotesk"/>
                <w:b/>
                <w:i w:val="0"/>
                <w:sz w:val="19"/>
              </w:rPr>
              <w:t>GCP Audit / Activity Logs</w:t>
            </w:r>
          </w:p>
        </w:tc>
        <w:tc>
          <w:tcPr>
            <w:tcW w:type="dxa" w:w="3024"/>
          </w:tcPr>
          <w:p>
            <w:pPr>
              <w:spacing w:after="0" w:line="264" w:lineRule="auto"/>
            </w:pPr>
            <w:r>
              <w:rPr>
                <w:rFonts w:ascii="Space Grotesk" w:hAnsi="Space Grotesk" w:cs="Space Grotesk" w:eastAsia="Space Grotesk"/>
                <w:b w:val="0"/>
                <w:i w:val="0"/>
                <w:sz w:val="19"/>
              </w:rPr>
              <w:t>Native, Cloud Logging log sink to Pub/Sub</w:t>
            </w:r>
          </w:p>
        </w:tc>
        <w:tc>
          <w:tcPr>
            <w:tcW w:type="dxa" w:w="4176"/>
          </w:tcPr>
          <w:p>
            <w:pPr>
              <w:spacing w:after="0" w:line="264" w:lineRule="auto"/>
            </w:pPr>
            <w:r>
              <w:rPr>
                <w:rFonts w:ascii="Space Grotesk" w:hAnsi="Space Grotesk" w:cs="Space Grotesk" w:eastAsia="Space Grotesk"/>
                <w:b w:val="0"/>
                <w:i w:val="0"/>
                <w:sz w:val="19"/>
              </w:rPr>
              <w:t>AccuKnox SIEM consumes the sink directly; no forwarder required.</w:t>
            </w:r>
          </w:p>
        </w:tc>
      </w:tr>
      <w:tr>
        <w:tc>
          <w:tcPr>
            <w:tcW w:type="dxa" w:w="2160"/>
            <w:shd w:val="clear" w:color="auto" w:fill="EEF0F6"/>
          </w:tcPr>
          <w:p>
            <w:pPr>
              <w:spacing w:after="0" w:line="264" w:lineRule="auto"/>
            </w:pPr>
            <w:r>
              <w:rPr>
                <w:rFonts w:ascii="Space Grotesk" w:hAnsi="Space Grotesk" w:cs="Space Grotesk" w:eastAsia="Space Grotesk"/>
                <w:b/>
                <w:i w:val="0"/>
                <w:sz w:val="19"/>
              </w:rPr>
              <w:t>OCI Audit Logs</w:t>
            </w:r>
          </w:p>
        </w:tc>
        <w:tc>
          <w:tcPr>
            <w:tcW w:type="dxa" w:w="3024"/>
            <w:shd w:val="clear" w:color="auto" w:fill="EEF0F6"/>
          </w:tcPr>
          <w:p>
            <w:pPr>
              <w:spacing w:after="0" w:line="264" w:lineRule="auto"/>
            </w:pPr>
            <w:r>
              <w:rPr>
                <w:rFonts w:ascii="Space Grotesk" w:hAnsi="Space Grotesk" w:cs="Space Grotesk" w:eastAsia="Space Grotesk"/>
                <w:b w:val="0"/>
                <w:i w:val="0"/>
                <w:sz w:val="19"/>
              </w:rPr>
              <w:t>Native, OCI Logging via Streaming / Object Storage export</w:t>
            </w:r>
          </w:p>
        </w:tc>
        <w:tc>
          <w:tcPr>
            <w:tcW w:type="dxa" w:w="4176"/>
            <w:shd w:val="clear" w:color="auto" w:fill="EEF0F6"/>
          </w:tcPr>
          <w:p>
            <w:pPr>
              <w:spacing w:after="0" w:line="264" w:lineRule="auto"/>
            </w:pPr>
            <w:r>
              <w:rPr>
                <w:rFonts w:ascii="Space Grotesk" w:hAnsi="Space Grotesk" w:cs="Space Grotesk" w:eastAsia="Space Grotesk"/>
                <w:b w:val="0"/>
                <w:i w:val="0"/>
                <w:sz w:val="19"/>
              </w:rPr>
              <w:t>Read-only export configuration in the OCI tenancy.</w:t>
            </w:r>
          </w:p>
        </w:tc>
      </w:tr>
      <w:tr>
        <w:tc>
          <w:tcPr>
            <w:tcW w:type="dxa" w:w="2160"/>
          </w:tcPr>
          <w:p>
            <w:pPr>
              <w:spacing w:after="0" w:line="264" w:lineRule="auto"/>
            </w:pPr>
            <w:r>
              <w:rPr>
                <w:rFonts w:ascii="Space Grotesk" w:hAnsi="Space Grotesk" w:cs="Space Grotesk" w:eastAsia="Space Grotesk"/>
                <w:b/>
                <w:i w:val="0"/>
                <w:sz w:val="19"/>
              </w:rPr>
              <w:t>Google Workspace</w:t>
            </w:r>
          </w:p>
        </w:tc>
        <w:tc>
          <w:tcPr>
            <w:tcW w:type="dxa" w:w="3024"/>
          </w:tcPr>
          <w:p>
            <w:pPr>
              <w:spacing w:after="0" w:line="264" w:lineRule="auto"/>
            </w:pPr>
            <w:r>
              <w:rPr>
                <w:rFonts w:ascii="Space Grotesk" w:hAnsi="Space Grotesk" w:cs="Space Grotesk" w:eastAsia="Space Grotesk"/>
                <w:b w:val="0"/>
                <w:i w:val="0"/>
                <w:sz w:val="19"/>
              </w:rPr>
              <w:t>API, Admin SDK Reports API</w:t>
            </w:r>
          </w:p>
        </w:tc>
        <w:tc>
          <w:tcPr>
            <w:tcW w:type="dxa" w:w="4176"/>
          </w:tcPr>
          <w:p>
            <w:pPr>
              <w:spacing w:after="0" w:line="264" w:lineRule="auto"/>
            </w:pPr>
            <w:r>
              <w:rPr>
                <w:rFonts w:ascii="Space Grotesk" w:hAnsi="Space Grotesk" w:cs="Space Grotesk" w:eastAsia="Space Grotesk"/>
                <w:b w:val="0"/>
                <w:i w:val="0"/>
                <w:sz w:val="19"/>
              </w:rPr>
              <w:t>Login, admin, and application audit events.</w:t>
            </w:r>
          </w:p>
        </w:tc>
      </w:tr>
      <w:tr>
        <w:tc>
          <w:tcPr>
            <w:tcW w:type="dxa" w:w="2160"/>
            <w:shd w:val="clear" w:color="auto" w:fill="EEF0F6"/>
          </w:tcPr>
          <w:p>
            <w:pPr>
              <w:spacing w:after="0" w:line="264" w:lineRule="auto"/>
            </w:pPr>
            <w:r>
              <w:rPr>
                <w:rFonts w:ascii="Space Grotesk" w:hAnsi="Space Grotesk" w:cs="Space Grotesk" w:eastAsia="Space Grotesk"/>
                <w:b/>
                <w:i w:val="0"/>
                <w:sz w:val="19"/>
              </w:rPr>
              <w:t>MongoDB (Atlas)</w:t>
            </w:r>
          </w:p>
        </w:tc>
        <w:tc>
          <w:tcPr>
            <w:tcW w:type="dxa" w:w="3024"/>
            <w:shd w:val="clear" w:color="auto" w:fill="EEF0F6"/>
          </w:tcPr>
          <w:p>
            <w:pPr>
              <w:spacing w:after="0" w:line="264" w:lineRule="auto"/>
            </w:pPr>
            <w:r>
              <w:rPr>
                <w:rFonts w:ascii="Space Grotesk" w:hAnsi="Space Grotesk" w:cs="Space Grotesk" w:eastAsia="Space Grotesk"/>
                <w:b w:val="0"/>
                <w:i w:val="0"/>
                <w:sz w:val="19"/>
              </w:rPr>
              <w:t>API, Atlas Audit Log / Atlas Administration API</w:t>
            </w:r>
          </w:p>
        </w:tc>
        <w:tc>
          <w:tcPr>
            <w:tcW w:type="dxa" w:w="4176"/>
            <w:shd w:val="clear" w:color="auto" w:fill="EEF0F6"/>
          </w:tcPr>
          <w:p>
            <w:pPr>
              <w:spacing w:after="0" w:line="264" w:lineRule="auto"/>
            </w:pPr>
            <w:r>
              <w:rPr>
                <w:rFonts w:ascii="Space Grotesk" w:hAnsi="Space Grotesk" w:cs="Space Grotesk" w:eastAsia="Space Grotesk"/>
                <w:b w:val="0"/>
                <w:i w:val="0"/>
                <w:sz w:val="19"/>
              </w:rPr>
              <w:t>Database and project-level audit events.</w:t>
            </w:r>
          </w:p>
        </w:tc>
      </w:tr>
      <w:tr>
        <w:tc>
          <w:tcPr>
            <w:tcW w:type="dxa" w:w="2160"/>
          </w:tcPr>
          <w:p>
            <w:pPr>
              <w:spacing w:after="0" w:line="264" w:lineRule="auto"/>
            </w:pPr>
            <w:r>
              <w:rPr>
                <w:rFonts w:ascii="Space Grotesk" w:hAnsi="Space Grotesk" w:cs="Space Grotesk" w:eastAsia="Space Grotesk"/>
                <w:b/>
                <w:i w:val="0"/>
                <w:sz w:val="19"/>
              </w:rPr>
              <w:t>Slack</w:t>
            </w:r>
          </w:p>
        </w:tc>
        <w:tc>
          <w:tcPr>
            <w:tcW w:type="dxa" w:w="3024"/>
          </w:tcPr>
          <w:p>
            <w:pPr>
              <w:spacing w:after="0" w:line="264" w:lineRule="auto"/>
            </w:pPr>
            <w:r>
              <w:rPr>
                <w:rFonts w:ascii="Space Grotesk" w:hAnsi="Space Grotesk" w:cs="Space Grotesk" w:eastAsia="Space Grotesk"/>
                <w:b w:val="0"/>
                <w:i w:val="0"/>
                <w:sz w:val="19"/>
              </w:rPr>
              <w:t>API, Enterprise Grid Audit Logs API</w:t>
            </w:r>
          </w:p>
        </w:tc>
        <w:tc>
          <w:tcPr>
            <w:tcW w:type="dxa" w:w="4176"/>
          </w:tcPr>
          <w:p>
            <w:pPr>
              <w:spacing w:after="0" w:line="264" w:lineRule="auto"/>
            </w:pPr>
            <w:r>
              <w:rPr>
                <w:rFonts w:ascii="Space Grotesk" w:hAnsi="Space Grotesk" w:cs="Space Grotesk" w:eastAsia="Space Grotesk"/>
                <w:b w:val="0"/>
                <w:i w:val="0"/>
                <w:sz w:val="19"/>
              </w:rPr>
              <w:t>Workspace and admin audit events.</w:t>
            </w:r>
          </w:p>
        </w:tc>
      </w:tr>
      <w:tr>
        <w:tc>
          <w:tcPr>
            <w:tcW w:type="dxa" w:w="2160"/>
            <w:shd w:val="clear" w:color="auto" w:fill="EEF0F6"/>
          </w:tcPr>
          <w:p>
            <w:pPr>
              <w:spacing w:after="0" w:line="264" w:lineRule="auto"/>
            </w:pPr>
            <w:r>
              <w:rPr>
                <w:rFonts w:ascii="Space Grotesk" w:hAnsi="Space Grotesk" w:cs="Space Grotesk" w:eastAsia="Space Grotesk"/>
                <w:b/>
                <w:i w:val="0"/>
                <w:sz w:val="19"/>
              </w:rPr>
              <w:t>Jamf</w:t>
            </w:r>
          </w:p>
        </w:tc>
        <w:tc>
          <w:tcPr>
            <w:tcW w:type="dxa" w:w="3024"/>
            <w:shd w:val="clear" w:color="auto" w:fill="EEF0F6"/>
          </w:tcPr>
          <w:p>
            <w:pPr>
              <w:spacing w:after="0" w:line="264" w:lineRule="auto"/>
            </w:pPr>
            <w:r>
              <w:rPr>
                <w:rFonts w:ascii="Space Grotesk" w:hAnsi="Space Grotesk" w:cs="Space Grotesk" w:eastAsia="Space Grotesk"/>
                <w:b w:val="0"/>
                <w:i w:val="0"/>
                <w:sz w:val="19"/>
              </w:rPr>
              <w:t>API, Jamf Pro API / webhook events</w:t>
            </w:r>
          </w:p>
        </w:tc>
        <w:tc>
          <w:tcPr>
            <w:tcW w:type="dxa" w:w="4176"/>
            <w:shd w:val="clear" w:color="auto" w:fill="EEF0F6"/>
          </w:tcPr>
          <w:p>
            <w:pPr>
              <w:spacing w:after="0" w:line="264" w:lineRule="auto"/>
            </w:pPr>
            <w:r>
              <w:rPr>
                <w:rFonts w:ascii="Space Grotesk" w:hAnsi="Space Grotesk" w:cs="Space Grotesk" w:eastAsia="Space Grotesk"/>
                <w:b w:val="0"/>
                <w:i w:val="0"/>
                <w:sz w:val="19"/>
              </w:rPr>
              <w:t>Device management and compliance events.</w:t>
            </w:r>
          </w:p>
        </w:tc>
      </w:tr>
      <w:tr>
        <w:tc>
          <w:tcPr>
            <w:tcW w:type="dxa" w:w="2160"/>
          </w:tcPr>
          <w:p>
            <w:pPr>
              <w:spacing w:after="0" w:line="264" w:lineRule="auto"/>
            </w:pPr>
            <w:r>
              <w:rPr>
                <w:rFonts w:ascii="Space Grotesk" w:hAnsi="Space Grotesk" w:cs="Space Grotesk" w:eastAsia="Space Grotesk"/>
                <w:b/>
                <w:i w:val="0"/>
                <w:sz w:val="19"/>
              </w:rPr>
              <w:t>CrowdStrike FDR</w:t>
            </w:r>
          </w:p>
        </w:tc>
        <w:tc>
          <w:tcPr>
            <w:tcW w:type="dxa" w:w="3024"/>
          </w:tcPr>
          <w:p>
            <w:pPr>
              <w:spacing w:after="0" w:line="264" w:lineRule="auto"/>
            </w:pPr>
            <w:r>
              <w:rPr>
                <w:rFonts w:ascii="Space Grotesk" w:hAnsi="Space Grotesk" w:cs="Space Grotesk" w:eastAsia="Space Grotesk"/>
                <w:b w:val="0"/>
                <w:i w:val="0"/>
                <w:sz w:val="19"/>
              </w:rPr>
              <w:t>Native, Falcon Data Replicator (S3-based)</w:t>
            </w:r>
          </w:p>
        </w:tc>
        <w:tc>
          <w:tcPr>
            <w:tcW w:type="dxa" w:w="4176"/>
          </w:tcPr>
          <w:p>
            <w:pPr>
              <w:spacing w:after="0" w:line="264" w:lineRule="auto"/>
            </w:pPr>
            <w:r>
              <w:rPr>
                <w:rFonts w:ascii="Space Grotesk" w:hAnsi="Space Grotesk" w:cs="Space Grotesk" w:eastAsia="Space Grotesk"/>
                <w:b w:val="0"/>
                <w:i w:val="0"/>
                <w:sz w:val="19"/>
              </w:rPr>
              <w:t>AccuKnox SIEM reads directly from the FDR S3 bucket.</w:t>
            </w:r>
          </w:p>
        </w:tc>
      </w:tr>
      <w:tr>
        <w:tc>
          <w:tcPr>
            <w:tcW w:type="dxa" w:w="2160"/>
            <w:shd w:val="clear" w:color="auto" w:fill="EEF0F6"/>
          </w:tcPr>
          <w:p>
            <w:pPr>
              <w:spacing w:after="0" w:line="264" w:lineRule="auto"/>
            </w:pPr>
            <w:r>
              <w:rPr>
                <w:rFonts w:ascii="Space Grotesk" w:hAnsi="Space Grotesk" w:cs="Space Grotesk" w:eastAsia="Space Grotesk"/>
                <w:b/>
                <w:i w:val="0"/>
                <w:sz w:val="19"/>
              </w:rPr>
              <w:t>AquaSec</w:t>
            </w:r>
          </w:p>
        </w:tc>
        <w:tc>
          <w:tcPr>
            <w:tcW w:type="dxa" w:w="3024"/>
            <w:shd w:val="clear" w:color="auto" w:fill="EEF0F6"/>
          </w:tcPr>
          <w:p>
            <w:pPr>
              <w:spacing w:after="0" w:line="264" w:lineRule="auto"/>
            </w:pPr>
            <w:r>
              <w:rPr>
                <w:rFonts w:ascii="Space Grotesk" w:hAnsi="Space Grotesk" w:cs="Space Grotesk" w:eastAsia="Space Grotesk"/>
                <w:b w:val="0"/>
                <w:i w:val="0"/>
                <w:sz w:val="19"/>
              </w:rPr>
              <w:t>API, Aqua Platform API / webhook</w:t>
            </w:r>
          </w:p>
        </w:tc>
        <w:tc>
          <w:tcPr>
            <w:tcW w:type="dxa" w:w="4176"/>
            <w:shd w:val="clear" w:color="auto" w:fill="EEF0F6"/>
          </w:tcPr>
          <w:p>
            <w:pPr>
              <w:spacing w:after="0" w:line="264" w:lineRule="auto"/>
            </w:pPr>
            <w:r>
              <w:rPr>
                <w:rFonts w:ascii="Space Grotesk" w:hAnsi="Space Grotesk" w:cs="Space Grotesk" w:eastAsia="Space Grotesk"/>
                <w:b w:val="0"/>
                <w:i w:val="0"/>
                <w:sz w:val="19"/>
              </w:rPr>
              <w:t>Container and workload security events.</w:t>
            </w:r>
          </w:p>
        </w:tc>
      </w:tr>
      <w:tr>
        <w:tc>
          <w:tcPr>
            <w:tcW w:type="dxa" w:w="2160"/>
          </w:tcPr>
          <w:p>
            <w:pPr>
              <w:spacing w:after="0" w:line="264" w:lineRule="auto"/>
            </w:pPr>
            <w:r>
              <w:rPr>
                <w:rFonts w:ascii="Space Grotesk" w:hAnsi="Space Grotesk" w:cs="Space Grotesk" w:eastAsia="Space Grotesk"/>
                <w:b/>
                <w:i w:val="0"/>
                <w:sz w:val="19"/>
              </w:rPr>
              <w:t>Cisco Meraki</w:t>
            </w:r>
          </w:p>
        </w:tc>
        <w:tc>
          <w:tcPr>
            <w:tcW w:type="dxa" w:w="3024"/>
          </w:tcPr>
          <w:p>
            <w:pPr>
              <w:spacing w:after="0" w:line="264" w:lineRule="auto"/>
            </w:pPr>
            <w:r>
              <w:rPr>
                <w:rFonts w:ascii="Space Grotesk" w:hAnsi="Space Grotesk" w:cs="Space Grotesk" w:eastAsia="Space Grotesk"/>
                <w:b w:val="0"/>
                <w:i w:val="0"/>
                <w:sz w:val="19"/>
              </w:rPr>
              <w:t>Syslog → Syslog VM middleware → AccuKnox SIEM</w:t>
            </w:r>
          </w:p>
        </w:tc>
        <w:tc>
          <w:tcPr>
            <w:tcW w:type="dxa" w:w="4176"/>
          </w:tcPr>
          <w:p>
            <w:pPr>
              <w:spacing w:after="0" w:line="264" w:lineRule="auto"/>
            </w:pPr>
            <w:r>
              <w:rPr>
                <w:rFonts w:ascii="Space Grotesk" w:hAnsi="Space Grotesk" w:cs="Space Grotesk" w:eastAsia="Space Grotesk"/>
                <w:b w:val="0"/>
                <w:i w:val="0"/>
                <w:sz w:val="19"/>
              </w:rPr>
              <w:t>See Appendix D for the syslog-to-JSON middleware architecture.</w:t>
            </w:r>
          </w:p>
        </w:tc>
      </w:tr>
      <w:tr>
        <w:tc>
          <w:tcPr>
            <w:tcW w:type="dxa" w:w="2160"/>
            <w:shd w:val="clear" w:color="auto" w:fill="EEF0F6"/>
          </w:tcPr>
          <w:p>
            <w:pPr>
              <w:spacing w:after="0" w:line="264" w:lineRule="auto"/>
            </w:pPr>
            <w:r>
              <w:rPr>
                <w:rFonts w:ascii="Space Grotesk" w:hAnsi="Space Grotesk" w:cs="Space Grotesk" w:eastAsia="Space Grotesk"/>
                <w:b/>
                <w:i w:val="0"/>
                <w:sz w:val="19"/>
              </w:rPr>
              <w:t>Palo Alto Firewall</w:t>
            </w:r>
          </w:p>
        </w:tc>
        <w:tc>
          <w:tcPr>
            <w:tcW w:type="dxa" w:w="3024"/>
            <w:shd w:val="clear" w:color="auto" w:fill="EEF0F6"/>
          </w:tcPr>
          <w:p>
            <w:pPr>
              <w:spacing w:after="0" w:line="264" w:lineRule="auto"/>
            </w:pPr>
            <w:r>
              <w:rPr>
                <w:rFonts w:ascii="Space Grotesk" w:hAnsi="Space Grotesk" w:cs="Space Grotesk" w:eastAsia="Space Grotesk"/>
                <w:b w:val="0"/>
                <w:i w:val="0"/>
                <w:sz w:val="19"/>
              </w:rPr>
              <w:t>Syslog → Syslog VM middleware → AccuKnox SIEM</w:t>
            </w:r>
          </w:p>
        </w:tc>
        <w:tc>
          <w:tcPr>
            <w:tcW w:type="dxa" w:w="4176"/>
            <w:shd w:val="clear" w:color="auto" w:fill="EEF0F6"/>
          </w:tcPr>
          <w:p>
            <w:pPr>
              <w:spacing w:after="0" w:line="264" w:lineRule="auto"/>
            </w:pPr>
            <w:r>
              <w:rPr>
                <w:rFonts w:ascii="Space Grotesk" w:hAnsi="Space Grotesk" w:cs="Space Grotesk" w:eastAsia="Space Grotesk"/>
                <w:b w:val="0"/>
                <w:i w:val="0"/>
                <w:sz w:val="19"/>
              </w:rPr>
              <w:t>See Appendix D for the syslog-to-JSON middleware architecture.</w:t>
            </w:r>
          </w:p>
        </w:tc>
      </w:tr>
    </w:tbl>
    <w:p>
      <w:pPr>
        <w:spacing w:after="120" w:before="0" w:line="276" w:lineRule="auto"/>
      </w:pPr>
    </w:p>
    <w:p>
      <w:pPr>
        <w:pStyle w:val="Heading2"/>
        <w:keepNext/>
        <w:spacing w:before="260" w:after="100"/>
        <w:jc w:val="left"/>
      </w:pPr>
      <w:r>
        <w:rPr>
          <w:rFonts w:ascii="Space Grotesk" w:hAnsi="Space Grotesk" w:cs="Space Grotesk" w:eastAsia="Space Grotesk"/>
          <w:b/>
          <w:i w:val="0"/>
          <w:sz w:val="27"/>
        </w:rPr>
        <w:t>How cloud-native ingestion works</w:t>
      </w:r>
    </w:p>
    <w:p>
      <w:pPr>
        <w:spacing w:after="120" w:before="0" w:line="276" w:lineRule="auto"/>
      </w:pPr>
      <w:r>
        <w:rPr>
          <w:rFonts w:ascii="Space Grotesk" w:hAnsi="Space Grotesk" w:cs="Space Grotesk" w:eastAsia="Space Grotesk"/>
          <w:b w:val="0"/>
          <w:i w:val="0"/>
          <w:sz w:val="21"/>
        </w:rPr>
        <w:t>For AWS, GCP, and OCI, AccuKnox SIEM ingests logs directly through each provider's native logging and monitoring service: CloudTrail for AWS, Cloud Logging log sinks for GCP, and the Logging service for OCI. No forwarders or agents run on the organization's infrastructure for these three platforms. Onboarding follows AccuKnox's standard SIEM onboarding workflow:</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AWS SIEM Onboarding Guide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GCP SIEM Onboarding Guide</w:t>
      </w:r>
    </w:p>
    <w:p>
      <w:pPr>
        <w:spacing w:after="120" w:before="120" w:line="276" w:lineRule="auto"/>
      </w:pPr>
      <w:r>
        <w:rPr>
          <w:rFonts w:ascii="Space Grotesk" w:hAnsi="Space Grotesk" w:cs="Space Grotesk" w:eastAsia="Space Grotesk"/>
          <w:b w:val="0"/>
          <w:i/>
          <w:color w:val="5A6478"/>
          <w:sz w:val="19"/>
        </w:rPr>
        <w:t>AccuKnox uses one shared cloud-connection workflow for both log ingestion and (where separately licensed) automated response, so the same onboarding steps apply regardless of which capability is enabled. For this engagement, only detection and monitoring are configured. No remediation actions are enabled on the organization's cloud accounts.</w:t>
      </w:r>
    </w:p>
    <w:p>
      <w:pPr>
        <w:pStyle w:val="Heading1"/>
        <w:keepNext/>
        <w:pageBreakBefore/>
        <w:spacing w:before="0" w:after="160"/>
        <w:jc w:val="left"/>
      </w:pPr>
      <w:r>
        <w:rPr>
          <w:rFonts w:ascii="Space Grotesk" w:hAnsi="Space Grotesk" w:cs="Space Grotesk" w:eastAsia="Space Grotesk"/>
          <w:b/>
          <w:i w:val="0"/>
          <w:sz w:val="36"/>
        </w:rPr>
        <w:t>Technical Architecture</w:t>
      </w:r>
    </w:p>
    <w:p>
      <w:pPr>
        <w:spacing w:after="120" w:before="0" w:line="276" w:lineRule="auto"/>
      </w:pPr>
      <w:r>
        <w:rPr>
          <w:rFonts w:ascii="Space Grotesk" w:hAnsi="Space Grotesk" w:cs="Space Grotesk" w:eastAsia="Space Grotesk"/>
          <w:b w:val="0"/>
          <w:i w:val="0"/>
          <w:sz w:val="21"/>
        </w:rPr>
        <w:t>AccuKnox SIEM ingests events from the organization's cloud accounts, SaaS applications, and network appliances, normalizes them into a common schema, and runs them through detectors, correlation, and threat-intelligence enrichment before surfacing results in dashboards and external channels.</w:t>
      </w:r>
    </w:p>
    <w:p>
      <w:pPr>
        <w:spacing w:before="160" w:after="60"/>
        <w:jc w:val="center"/>
      </w:pPr>
      <w:r>
        <w:drawing>
          <wp:inline>
            <wp:extent cx="5486400" cy="2547449"/>
            <wp:docPr id="3" name="Picture 3"/>
            <wp:cNvGraphicFramePr>
              <a:graphicFrameLocks noChangeAspect="1"/>
            </wp:cNvGraphicFramePr>
            <a:graphic>
              <a:graphicData uri="http://schemas.openxmlformats.org/drawingml/2006/picture">
                <pic:pic>
                  <pic:nvPicPr>
                    <pic:cNvPr id="0" name="p05_x23.png"/>
                    <pic:cNvPicPr/>
                  </pic:nvPicPr>
                  <pic:blipFill>
                    <a:blip r:embed="rId10"/>
                    <a:stretch>
                      <a:fillRect/>
                    </a:stretch>
                  </pic:blipFill>
                  <pic:spPr>
                    <a:xfrm>
                      <a:off x="0" y="0"/>
                      <a:ext cx="5486400" cy="2547449"/>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2. AccuKnox SIEM architecture, as deployed for the organization's scope (log ingestion, detection, dashboards and channels).</w:t>
      </w:r>
    </w:p>
    <w:p>
      <w:pPr>
        <w:pStyle w:val="Heading2"/>
        <w:keepNext/>
        <w:spacing w:before="260" w:after="100"/>
        <w:jc w:val="left"/>
      </w:pPr>
      <w:r>
        <w:rPr>
          <w:rFonts w:ascii="Space Grotesk" w:hAnsi="Space Grotesk" w:cs="Space Grotesk" w:eastAsia="Space Grotesk"/>
          <w:b/>
          <w:i w:val="0"/>
          <w:sz w:val="27"/>
        </w:rPr>
        <w:t>Architecture layers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Sources: </w:t>
      </w:r>
      <w:r>
        <w:rPr>
          <w:rFonts w:ascii="Space Grotesk" w:hAnsi="Space Grotesk" w:cs="Space Grotesk" w:eastAsia="Space Grotesk"/>
          <w:b w:val="0"/>
          <w:i w:val="0"/>
          <w:sz w:val="21"/>
        </w:rPr>
        <w:t>AWS, Google Workspace, and the AccuKnox CNAPP events feed connect through their native APIs; VMs, EDR tools, and syslog-only appliances (Cisco Meraki, Palo Alto) forward through syslog.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Data ingestion: </w:t>
      </w:r>
      <w:r>
        <w:rPr>
          <w:rFonts w:ascii="Space Grotesk" w:hAnsi="Space Grotesk" w:cs="Space Grotesk" w:eastAsia="Space Grotesk"/>
          <w:b w:val="0"/>
          <w:i w:val="0"/>
          <w:sz w:val="21"/>
        </w:rPr>
        <w:t>LogStash, Bulk API, and Data Prepper receive and normalize events across all supported log types before they are written to the data store.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Data store: </w:t>
      </w:r>
      <w:r>
        <w:rPr>
          <w:rFonts w:ascii="Space Grotesk" w:hAnsi="Space Grotesk" w:cs="Space Grotesk" w:eastAsia="Space Grotesk"/>
          <w:b w:val="0"/>
          <w:i w:val="0"/>
          <w:sz w:val="21"/>
        </w:rPr>
        <w:t>logs are indexed with enriched metadata (source, timestamp, event type, severity, account, region), which is what makes 6-month search fast without scanning raw log volumes.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Detectors and intelligence: </w:t>
      </w:r>
      <w:r>
        <w:rPr>
          <w:rFonts w:ascii="Space Grotesk" w:hAnsi="Space Grotesk" w:cs="Space Grotesk" w:eastAsia="Space Grotesk"/>
          <w:b w:val="0"/>
          <w:i w:val="0"/>
          <w:sz w:val="21"/>
        </w:rPr>
        <w:t>detection rules and threat-intelligence sources (including AlienVault) run continuously against ingested data, feeding threat analysis, correlations, threat hunting, and the MITRE ATT&amp;CK mapping.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Dashboards and API layer: </w:t>
      </w:r>
      <w:r>
        <w:rPr>
          <w:rFonts w:ascii="Space Grotesk" w:hAnsi="Space Grotesk" w:cs="Space Grotesk" w:eastAsia="Space Grotesk"/>
          <w:b w:val="0"/>
          <w:i w:val="0"/>
          <w:sz w:val="21"/>
        </w:rPr>
        <w:t>the AccuKnox SIEM Portal and API layer expose search, dashboards, and snapshots; AccuKnox AskADA adds GenAI-assisted multivector threat analysis on top of the same data.</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Channels: </w:t>
      </w:r>
      <w:r>
        <w:rPr>
          <w:rFonts w:ascii="Space Grotesk" w:hAnsi="Space Grotesk" w:cs="Space Grotesk" w:eastAsia="Space Grotesk"/>
          <w:b w:val="0"/>
          <w:i w:val="0"/>
          <w:sz w:val="21"/>
        </w:rPr>
        <w:t>detections and snapshots can notify out to Slack, webhooks, and Amazon SNS for the organization's SOC workflows.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Data archival: </w:t>
      </w:r>
      <w:r>
        <w:rPr>
          <w:rFonts w:ascii="Space Grotesk" w:hAnsi="Space Grotesk" w:cs="Space Grotesk" w:eastAsia="Space Grotesk"/>
          <w:b w:val="0"/>
          <w:i w:val="0"/>
          <w:sz w:val="21"/>
        </w:rPr>
        <w:t>logs beyond the 6-month searchable window move to archival storage and remain retrievable through the 1-year retention period.</w:t>
      </w:r>
    </w:p>
    <w:p>
      <w:pPr>
        <w:pStyle w:val="Heading1"/>
        <w:keepNext/>
        <w:pageBreakBefore/>
        <w:spacing w:before="0" w:after="160"/>
        <w:jc w:val="left"/>
      </w:pPr>
      <w:r>
        <w:rPr>
          <w:rFonts w:ascii="Space Grotesk" w:hAnsi="Space Grotesk" w:cs="Space Grotesk" w:eastAsia="Space Grotesk"/>
          <w:b/>
          <w:i w:val="0"/>
          <w:sz w:val="36"/>
        </w:rPr>
        <w:t>Platform Walkthrough</w:t>
      </w:r>
    </w:p>
    <w:p>
      <w:pPr>
        <w:spacing w:after="120" w:before="0" w:line="276" w:lineRule="auto"/>
      </w:pPr>
      <w:r>
        <w:rPr>
          <w:rFonts w:ascii="Space Grotesk" w:hAnsi="Space Grotesk" w:cs="Space Grotesk" w:eastAsia="Space Grotesk"/>
          <w:b w:val="0"/>
          <w:i w:val="0"/>
          <w:sz w:val="21"/>
        </w:rPr>
        <w:t>A look at the two layers the organization's team would work in day to day: the SIEM backend, where logs are stored, queried, and visualized, and the AccuKnox UI, where alerts are triaged.</w:t>
      </w:r>
    </w:p>
    <w:p>
      <w:pPr>
        <w:pStyle w:val="Heading2"/>
        <w:keepNext/>
        <w:spacing w:before="260" w:after="100"/>
        <w:jc w:val="left"/>
      </w:pPr>
      <w:r>
        <w:rPr>
          <w:rFonts w:ascii="Space Grotesk" w:hAnsi="Space Grotesk" w:cs="Space Grotesk" w:eastAsia="Space Grotesk"/>
          <w:b/>
          <w:i w:val="0"/>
          <w:sz w:val="27"/>
        </w:rPr>
        <w:t>SIEM backend: log storage and query layer</w:t>
      </w:r>
    </w:p>
    <w:p>
      <w:pPr>
        <w:spacing w:after="120" w:before="0" w:line="276" w:lineRule="auto"/>
      </w:pPr>
      <w:r>
        <w:rPr>
          <w:rFonts w:ascii="Space Grotesk" w:hAnsi="Space Grotesk" w:cs="Space Grotesk" w:eastAsia="Space Grotesk"/>
          <w:b w:val="0"/>
          <w:i w:val="0"/>
          <w:sz w:val="21"/>
        </w:rPr>
        <w:t>The SIEM backend is where ingested logs are stored and queried directly. Access is tenant-scoped and authenticated per user.</w:t>
      </w:r>
    </w:p>
    <w:p>
      <w:pPr>
        <w:spacing w:before="160" w:after="60"/>
        <w:jc w:val="center"/>
      </w:pPr>
      <w:r>
        <w:drawing>
          <wp:inline>
            <wp:extent cx="4937760" cy="2214636"/>
            <wp:docPr id="4" name="Picture 4"/>
            <wp:cNvGraphicFramePr>
              <a:graphicFrameLocks noChangeAspect="1"/>
            </wp:cNvGraphicFramePr>
            <a:graphic>
              <a:graphicData uri="http://schemas.openxmlformats.org/drawingml/2006/picture">
                <pic:pic>
                  <pic:nvPicPr>
                    <pic:cNvPr id="0" name="p09_x35.png"/>
                    <pic:cNvPicPr/>
                  </pic:nvPicPr>
                  <pic:blipFill>
                    <a:blip r:embed="rId11"/>
                    <a:stretch>
                      <a:fillRect/>
                    </a:stretch>
                  </pic:blipFill>
                  <pic:spPr>
                    <a:xfrm>
                      <a:off x="0" y="0"/>
                      <a:ext cx="4937760" cy="2214636"/>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3. AccuKnox SIEM backend login.</w:t>
      </w:r>
    </w:p>
    <w:p>
      <w:pPr>
        <w:spacing w:after="120" w:before="0" w:line="276" w:lineRule="auto"/>
      </w:pPr>
      <w:r>
        <w:rPr>
          <w:rFonts w:ascii="Space Grotesk" w:hAnsi="Space Grotesk" w:cs="Space Grotesk" w:eastAsia="Space Grotesk"/>
          <w:b w:val="0"/>
          <w:i w:val="0"/>
          <w:sz w:val="21"/>
        </w:rPr>
        <w:t>Once logged in, the backend exposes purpose-built dashboards per log source. The example below is an AWS CloudTrail operations dashboard, showing total event volume, error/access-denied counts, unique identities, and activity trends over a selected time window.</w:t>
      </w:r>
    </w:p>
    <w:p>
      <w:pPr>
        <w:spacing w:before="160" w:after="60"/>
        <w:jc w:val="center"/>
      </w:pPr>
      <w:r>
        <w:drawing>
          <wp:inline>
            <wp:extent cx="5486400" cy="2610790"/>
            <wp:docPr id="5" name="Picture 5"/>
            <wp:cNvGraphicFramePr>
              <a:graphicFrameLocks noChangeAspect="1"/>
            </wp:cNvGraphicFramePr>
            <a:graphic>
              <a:graphicData uri="http://schemas.openxmlformats.org/drawingml/2006/picture">
                <pic:pic>
                  <pic:nvPicPr>
                    <pic:cNvPr id="0" name="p10_x38.png"/>
                    <pic:cNvPicPr/>
                  </pic:nvPicPr>
                  <pic:blipFill>
                    <a:blip r:embed="rId12"/>
                    <a:stretch>
                      <a:fillRect/>
                    </a:stretch>
                  </pic:blipFill>
                  <pic:spPr>
                    <a:xfrm>
                      <a:off x="0" y="0"/>
                      <a:ext cx="5486400" cy="2610790"/>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4. AWS CloudTrail operations dashboard on the AccuKnox SIEM backend.</w:t>
      </w:r>
    </w:p>
    <w:p>
      <w:pPr>
        <w:pStyle w:val="Heading2"/>
        <w:keepNext/>
        <w:spacing w:before="260" w:after="100"/>
        <w:jc w:val="left"/>
      </w:pPr>
      <w:r>
        <w:rPr>
          <w:rFonts w:ascii="Space Grotesk" w:hAnsi="Space Grotesk" w:cs="Space Grotesk" w:eastAsia="Space Grotesk"/>
          <w:b/>
          <w:i w:val="0"/>
          <w:sz w:val="27"/>
        </w:rPr>
        <w:t>AccuKnox UI: alerts</w:t>
      </w:r>
    </w:p>
    <w:p>
      <w:pPr>
        <w:spacing w:after="120" w:before="0" w:line="276" w:lineRule="auto"/>
      </w:pPr>
      <w:r>
        <w:rPr>
          <w:rFonts w:ascii="Space Grotesk" w:hAnsi="Space Grotesk" w:cs="Space Grotesk" w:eastAsia="Space Grotesk"/>
          <w:b w:val="0"/>
          <w:i w:val="0"/>
          <w:sz w:val="21"/>
        </w:rPr>
        <w:t>Detections surface as alerts in the main AccuKnox UI, where the organization's SOC team would triage them day to day, filterable by module, status, log source, and severity, with saved filters and export.</w:t>
      </w:r>
    </w:p>
    <w:p>
      <w:pPr>
        <w:spacing w:before="160" w:after="60"/>
        <w:jc w:val="center"/>
      </w:pPr>
      <w:r>
        <w:drawing>
          <wp:inline>
            <wp:extent cx="5486400" cy="2603959"/>
            <wp:docPr id="6" name="Picture 6"/>
            <wp:cNvGraphicFramePr>
              <a:graphicFrameLocks noChangeAspect="1"/>
            </wp:cNvGraphicFramePr>
            <a:graphic>
              <a:graphicData uri="http://schemas.openxmlformats.org/drawingml/2006/picture">
                <pic:pic>
                  <pic:nvPicPr>
                    <pic:cNvPr id="0" name="p10_x39.png"/>
                    <pic:cNvPicPr/>
                  </pic:nvPicPr>
                  <pic:blipFill>
                    <a:blip r:embed="rId13"/>
                    <a:stretch>
                      <a:fillRect/>
                    </a:stretch>
                  </pic:blipFill>
                  <pic:spPr>
                    <a:xfrm>
                      <a:off x="0" y="0"/>
                      <a:ext cx="5486400" cy="2603959"/>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5. AccuKnox UI, Alerts page: active syslog-sourced alerts filtered by severity.</w:t>
      </w:r>
    </w:p>
    <w:p>
      <w:pPr>
        <w:spacing w:after="120" w:before="0" w:line="276" w:lineRule="auto"/>
      </w:pPr>
      <w:r>
        <w:rPr>
          <w:rFonts w:ascii="Space Grotesk" w:hAnsi="Space Grotesk" w:cs="Space Grotesk" w:eastAsia="Space Grotesk"/>
          <w:b w:val="0"/>
          <w:i w:val="0"/>
          <w:sz w:val="21"/>
        </w:rPr>
        <w:t>Each alert opens into full detail, including the raw log payload, for investigation and audit purposes.</w:t>
      </w:r>
    </w:p>
    <w:p>
      <w:pPr>
        <w:spacing w:before="160" w:after="60"/>
        <w:jc w:val="center"/>
      </w:pPr>
      <w:r>
        <w:drawing>
          <wp:inline>
            <wp:extent cx="5486400" cy="2608617"/>
            <wp:docPr id="7" name="Picture 7"/>
            <wp:cNvGraphicFramePr>
              <a:graphicFrameLocks noChangeAspect="1"/>
            </wp:cNvGraphicFramePr>
            <a:graphic>
              <a:graphicData uri="http://schemas.openxmlformats.org/drawingml/2006/picture">
                <pic:pic>
                  <pic:nvPicPr>
                    <pic:cNvPr id="0" name="p11_x42.png"/>
                    <pic:cNvPicPr/>
                  </pic:nvPicPr>
                  <pic:blipFill>
                    <a:blip r:embed="rId14"/>
                    <a:stretch>
                      <a:fillRect/>
                    </a:stretch>
                  </pic:blipFill>
                  <pic:spPr>
                    <a:xfrm>
                      <a:off x="0" y="0"/>
                      <a:ext cx="5486400" cy="2608617"/>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6. AccuKnox UI, alert detail view with raw log payload.</w:t>
      </w:r>
    </w:p>
    <w:p>
      <w:pPr>
        <w:pStyle w:val="Heading1"/>
        <w:keepNext/>
        <w:pageBreakBefore/>
        <w:spacing w:before="0" w:after="160"/>
        <w:jc w:val="left"/>
      </w:pPr>
      <w:r>
        <w:rPr>
          <w:rFonts w:ascii="Space Grotesk" w:hAnsi="Space Grotesk" w:cs="Space Grotesk" w:eastAsia="Space Grotesk"/>
          <w:b/>
          <w:i w:val="0"/>
          <w:sz w:val="36"/>
        </w:rPr>
        <w:t>Data Retention &amp; Storage Management</w:t>
      </w:r>
    </w:p>
    <w:p>
      <w:pPr>
        <w:spacing w:after="120" w:before="0" w:line="276" w:lineRule="auto"/>
      </w:pPr>
      <w:r>
        <w:rPr>
          <w:rFonts w:ascii="Space Grotesk" w:hAnsi="Space Grotesk" w:cs="Space Grotesk" w:eastAsia="Space Grotesk"/>
          <w:b w:val="0"/>
          <w:i w:val="0"/>
          <w:sz w:val="21"/>
        </w:rPr>
        <w:t>The organization's stated requirement is 1-year log retention with 6 months of searchable data for compliance and audit purposes. AccuKnox SIEM's storage model is built around exactly this pattern: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1-year retention: </w:t>
      </w:r>
      <w:r>
        <w:rPr>
          <w:rFonts w:ascii="Space Grotesk" w:hAnsi="Space Grotesk" w:cs="Space Grotesk" w:eastAsia="Space Grotesk"/>
          <w:b w:val="0"/>
          <w:i w:val="0"/>
          <w:sz w:val="21"/>
        </w:rPr>
        <w:t>all ingested logs from every source in the Scope of Work above are retained for a full year.</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6-month searchable window: </w:t>
      </w:r>
      <w:r>
        <w:rPr>
          <w:rFonts w:ascii="Space Grotesk" w:hAnsi="Space Grotesk" w:cs="Space Grotesk" w:eastAsia="Space Grotesk"/>
          <w:b w:val="0"/>
          <w:i w:val="0"/>
          <w:sz w:val="21"/>
        </w:rPr>
        <w:t>the most recent 6 months of data is indexed and fully searchable through metadata-based storage, so investigations and audits query fast without scanning raw log volumes.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Metadata-based indexing: </w:t>
      </w:r>
      <w:r>
        <w:rPr>
          <w:rFonts w:ascii="Space Grotesk" w:hAnsi="Space Grotesk" w:cs="Space Grotesk" w:eastAsia="Space Grotesk"/>
          <w:b w:val="0"/>
          <w:i w:val="0"/>
          <w:sz w:val="21"/>
        </w:rPr>
        <w:t>logs are enriched with source, timestamp, event type, severity, account, and region metadata at ingestion, which is what keeps 6-month search performant.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Data archival: </w:t>
      </w:r>
      <w:r>
        <w:rPr>
          <w:rFonts w:ascii="Space Grotesk" w:hAnsi="Space Grotesk" w:cs="Space Grotesk" w:eastAsia="Space Grotesk"/>
          <w:b w:val="0"/>
          <w:i w:val="0"/>
          <w:sz w:val="21"/>
        </w:rPr>
        <w:t>logs beyond the 6-month searchable window move to cold, S3-compatible archival storage and remain restorable on demand through month 12.</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Ingestion and storage controls: </w:t>
      </w:r>
      <w:r>
        <w:rPr>
          <w:rFonts w:ascii="Space Grotesk" w:hAnsi="Space Grotesk" w:cs="Space Grotesk" w:eastAsia="Space Grotesk"/>
          <w:b w:val="0"/>
          <w:i w:val="0"/>
          <w:sz w:val="21"/>
        </w:rPr>
        <w:t>per-tenant ingestion limits and storage quotas are configurable, so upper limits are enforced and costs stay predictable.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Snapshots and backup: </w:t>
      </w:r>
      <w:r>
        <w:rPr>
          <w:rFonts w:ascii="Space Grotesk" w:hAnsi="Space Grotesk" w:cs="Space Grotesk" w:eastAsia="Space Grotesk"/>
          <w:b w:val="0"/>
          <w:i w:val="0"/>
          <w:sz w:val="21"/>
        </w:rPr>
        <w:t>periodic snapshots of indexed data protect against data loss and support recoverability.</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Audit log exports: </w:t>
      </w:r>
      <w:r>
        <w:rPr>
          <w:rFonts w:ascii="Space Grotesk" w:hAnsi="Space Grotesk" w:cs="Space Grotesk" w:eastAsia="Space Grotesk"/>
          <w:b w:val="0"/>
          <w:i w:val="0"/>
          <w:sz w:val="21"/>
        </w:rPr>
        <w:t>scheduled or on-demand export of logs in JSON or CSV format for compliance reviews and regulatory submissions.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Tenant isolation: </w:t>
      </w:r>
      <w:r>
        <w:rPr>
          <w:rFonts w:ascii="Space Grotesk" w:hAnsi="Space Grotesk" w:cs="Space Grotesk" w:eastAsia="Space Grotesk"/>
          <w:b w:val="0"/>
          <w:i w:val="0"/>
          <w:sz w:val="21"/>
        </w:rPr>
        <w:t>the organization's log data is isolated from other AccuKnox tenants at the storage layer, with separate index namespaces and separate database collections/tables.</w:t>
      </w:r>
    </w:p>
    <w:p>
      <w:pPr>
        <w:pStyle w:val="Heading1"/>
        <w:keepNext/>
        <w:pageBreakBefore/>
        <w:spacing w:before="0" w:after="160"/>
        <w:jc w:val="left"/>
      </w:pPr>
      <w:r>
        <w:rPr>
          <w:rFonts w:ascii="Space Grotesk" w:hAnsi="Space Grotesk" w:cs="Space Grotesk" w:eastAsia="Space Grotesk"/>
          <w:b/>
          <w:i w:val="0"/>
          <w:sz w:val="36"/>
        </w:rPr>
        <w:t>Product Capabilities</w:t>
      </w:r>
    </w:p>
    <w:tbl>
      <w:tblPr>
        <w:tblW w:type="auto" w:w="0"/>
        <w:jc w:val="center"/>
        <w:tblLayout w:type="fixed"/>
        <w:tblLook w:firstColumn="1" w:firstRow="1" w:lastColumn="0" w:lastRow="0" w:noHBand="0" w:noVBand="1" w:val="04A0"/>
        <w:tblBorders>
          <w:top w:val="single" w:sz="6" w:space="0" w:color="C4CCDE"/>
          <w:left w:val="single" w:sz="6" w:space="0" w:color="C4CCDE"/>
          <w:bottom w:val="single" w:sz="6" w:space="0" w:color="C4CCDE"/>
          <w:right w:val="single" w:sz="6" w:space="0" w:color="C4CCDE"/>
          <w:insideH w:val="single" w:sz="6" w:space="0" w:color="C4CCDE"/>
          <w:insideV w:val="single" w:sz="6" w:space="0" w:color="C4CCDE"/>
        </w:tblBorders>
        <w:tblCellMar>
          <w:top w:w="80" w:type="dxa"/>
          <w:left w:w="110" w:type="dxa"/>
          <w:bottom w:w="80" w:type="dxa"/>
          <w:right w:w="110" w:type="dxa"/>
        </w:tblCellMar>
      </w:tblPr>
      <w:tblGrid>
        <w:gridCol w:w="4680"/>
        <w:gridCol w:w="4680"/>
      </w:tblGrid>
      <w:tr>
        <w:trPr>
          <w:tblHeader w:val="true"/>
        </w:trPr>
        <w:tc>
          <w:tcPr>
            <w:tcW w:type="dxa" w:w="2592"/>
            <w:shd w:val="clear" w:color="auto" w:fill="11206D"/>
          </w:tcPr>
          <w:p>
            <w:pPr>
              <w:spacing w:after="0"/>
            </w:pPr>
            <w:r>
              <w:rPr>
                <w:rFonts w:ascii="Space Grotesk" w:hAnsi="Space Grotesk" w:cs="Space Grotesk" w:eastAsia="Space Grotesk"/>
                <w:b/>
                <w:i w:val="0"/>
                <w:color w:val="FFFFFF"/>
                <w:sz w:val="20"/>
              </w:rPr>
              <w:t>Capability</w:t>
            </w:r>
          </w:p>
        </w:tc>
        <w:tc>
          <w:tcPr>
            <w:tcW w:type="dxa" w:w="6768"/>
            <w:shd w:val="clear" w:color="auto" w:fill="11206D"/>
          </w:tcPr>
          <w:p>
            <w:pPr>
              <w:spacing w:after="0"/>
            </w:pPr>
            <w:r>
              <w:rPr>
                <w:rFonts w:ascii="Space Grotesk" w:hAnsi="Space Grotesk" w:cs="Space Grotesk" w:eastAsia="Space Grotesk"/>
                <w:b/>
                <w:i w:val="0"/>
                <w:color w:val="FFFFFF"/>
                <w:sz w:val="20"/>
              </w:rPr>
              <w:t>Details</w:t>
            </w:r>
          </w:p>
        </w:tc>
      </w:tr>
      <w:tr>
        <w:tc>
          <w:tcPr>
            <w:tcW w:type="dxa" w:w="2592"/>
          </w:tcPr>
          <w:p>
            <w:pPr>
              <w:spacing w:after="0" w:line="264" w:lineRule="auto"/>
            </w:pPr>
            <w:r>
              <w:rPr>
                <w:rFonts w:ascii="Space Grotesk" w:hAnsi="Space Grotesk" w:cs="Space Grotesk" w:eastAsia="Space Grotesk"/>
                <w:b/>
                <w:i w:val="0"/>
                <w:sz w:val="19"/>
              </w:rPr>
              <w:t>Log Ingestion &amp; Retention</w:t>
            </w:r>
          </w:p>
        </w:tc>
        <w:tc>
          <w:tcPr>
            <w:tcW w:type="dxa" w:w="6768"/>
          </w:tcPr>
          <w:p>
            <w:pPr>
              <w:spacing w:after="0" w:line="264" w:lineRule="auto"/>
            </w:pPr>
            <w:r>
              <w:rPr>
                <w:rFonts w:ascii="Space Grotesk" w:hAnsi="Space Grotesk" w:cs="Space Grotesk" w:eastAsia="Space Grotesk"/>
                <w:b w:val="0"/>
                <w:i w:val="0"/>
                <w:sz w:val="19"/>
              </w:rPr>
              <w:t>LogStash, Bulk API, Data Prepper (HTTP, Kafka, OTel, S3, Kinesis, DynamoDB, DocumentDB, Fluentd) plus native cloud and vendor-API connectors. 100K events/sec, 1TB/day/tenant, 1-year retention with a 6-month searchable window.</w:t>
            </w:r>
          </w:p>
        </w:tc>
      </w:tr>
      <w:tr>
        <w:tc>
          <w:tcPr>
            <w:tcW w:type="dxa" w:w="2592"/>
            <w:shd w:val="clear" w:color="auto" w:fill="EEF0F6"/>
          </w:tcPr>
          <w:p>
            <w:pPr>
              <w:spacing w:after="0" w:line="264" w:lineRule="auto"/>
            </w:pPr>
            <w:r>
              <w:rPr>
                <w:rFonts w:ascii="Space Grotesk" w:hAnsi="Space Grotesk" w:cs="Space Grotesk" w:eastAsia="Space Grotesk"/>
                <w:b/>
                <w:i w:val="0"/>
                <w:sz w:val="19"/>
              </w:rPr>
              <w:t>Threat Detection &amp; Rules</w:t>
            </w:r>
          </w:p>
        </w:tc>
        <w:tc>
          <w:tcPr>
            <w:tcW w:type="dxa" w:w="6768"/>
            <w:shd w:val="clear" w:color="auto" w:fill="EEF0F6"/>
          </w:tcPr>
          <w:p>
            <w:pPr>
              <w:spacing w:after="0" w:line="264" w:lineRule="auto"/>
            </w:pPr>
            <w:r>
              <w:rPr>
                <w:rFonts w:ascii="Space Grotesk" w:hAnsi="Space Grotesk" w:cs="Space Grotesk" w:eastAsia="Space Grotesk"/>
                <w:b w:val="0"/>
                <w:i w:val="0"/>
                <w:sz w:val="19"/>
              </w:rPr>
              <w:t>Out-of-the-box detectors for AWS CloudTrail, GCP, and Kubernetes, plus custom detectors authored for the organization's CrowdStrike, AquaSec, MongoDB, Google Workspace, Meraki, and Palo Alto sources.</w:t>
            </w:r>
          </w:p>
        </w:tc>
      </w:tr>
      <w:tr>
        <w:tc>
          <w:tcPr>
            <w:tcW w:type="dxa" w:w="2592"/>
          </w:tcPr>
          <w:p>
            <w:pPr>
              <w:spacing w:after="0" w:line="264" w:lineRule="auto"/>
            </w:pPr>
            <w:r>
              <w:rPr>
                <w:rFonts w:ascii="Space Grotesk" w:hAnsi="Space Grotesk" w:cs="Space Grotesk" w:eastAsia="Space Grotesk"/>
                <w:b/>
                <w:i w:val="0"/>
                <w:sz w:val="19"/>
              </w:rPr>
              <w:t>Correlation &amp; Analytics</w:t>
            </w:r>
          </w:p>
        </w:tc>
        <w:tc>
          <w:tcPr>
            <w:tcW w:type="dxa" w:w="6768"/>
          </w:tcPr>
          <w:p>
            <w:pPr>
              <w:spacing w:after="0" w:line="264" w:lineRule="auto"/>
            </w:pPr>
            <w:r>
              <w:rPr>
                <w:rFonts w:ascii="Space Grotesk" w:hAnsi="Space Grotesk" w:cs="Space Grotesk" w:eastAsia="Space Grotesk"/>
                <w:b w:val="0"/>
                <w:i w:val="0"/>
                <w:sz w:val="19"/>
              </w:rPr>
              <w:t>Multivector correlation, anomaly detection, and threat hunting across cloud, identity, and network sources, with MITRE ATT&amp;CK framework alignment.</w:t>
            </w:r>
          </w:p>
        </w:tc>
      </w:tr>
      <w:tr>
        <w:tc>
          <w:tcPr>
            <w:tcW w:type="dxa" w:w="2592"/>
            <w:shd w:val="clear" w:color="auto" w:fill="EEF0F6"/>
          </w:tcPr>
          <w:p>
            <w:pPr>
              <w:spacing w:after="0" w:line="264" w:lineRule="auto"/>
            </w:pPr>
            <w:r>
              <w:rPr>
                <w:rFonts w:ascii="Space Grotesk" w:hAnsi="Space Grotesk" w:cs="Space Grotesk" w:eastAsia="Space Grotesk"/>
                <w:b/>
                <w:i w:val="0"/>
                <w:sz w:val="19"/>
              </w:rPr>
              <w:t>Threat Intelligence</w:t>
            </w:r>
          </w:p>
        </w:tc>
        <w:tc>
          <w:tcPr>
            <w:tcW w:type="dxa" w:w="6768"/>
            <w:shd w:val="clear" w:color="auto" w:fill="EEF0F6"/>
          </w:tcPr>
          <w:p>
            <w:pPr>
              <w:spacing w:after="0" w:line="264" w:lineRule="auto"/>
            </w:pPr>
            <w:r>
              <w:rPr>
                <w:rFonts w:ascii="Space Grotesk" w:hAnsi="Space Grotesk" w:cs="Space Grotesk" w:eastAsia="Space Grotesk"/>
                <w:b w:val="0"/>
                <w:i w:val="0"/>
                <w:sz w:val="19"/>
              </w:rPr>
              <w:t>Alerts enriched against external threat intelligence sources (including AlienVault) for IP and domain reputation.</w:t>
            </w:r>
          </w:p>
        </w:tc>
      </w:tr>
      <w:tr>
        <w:tc>
          <w:tcPr>
            <w:tcW w:type="dxa" w:w="2592"/>
          </w:tcPr>
          <w:p>
            <w:pPr>
              <w:spacing w:after="0" w:line="264" w:lineRule="auto"/>
            </w:pPr>
            <w:r>
              <w:rPr>
                <w:rFonts w:ascii="Space Grotesk" w:hAnsi="Space Grotesk" w:cs="Space Grotesk" w:eastAsia="Space Grotesk"/>
                <w:b/>
                <w:i w:val="0"/>
                <w:sz w:val="19"/>
              </w:rPr>
              <w:t>Dashboards &amp; Reporting</w:t>
            </w:r>
          </w:p>
        </w:tc>
        <w:tc>
          <w:tcPr>
            <w:tcW w:type="dxa" w:w="6768"/>
          </w:tcPr>
          <w:p>
            <w:pPr>
              <w:spacing w:after="0" w:line="264" w:lineRule="auto"/>
            </w:pPr>
            <w:r>
              <w:rPr>
                <w:rFonts w:ascii="Space Grotesk" w:hAnsi="Space Grotesk" w:cs="Space Grotesk" w:eastAsia="Space Grotesk"/>
                <w:b w:val="0"/>
                <w:i w:val="0"/>
                <w:sz w:val="19"/>
              </w:rPr>
              <w:t>Custom dashboards, saved searches, metadata-based log storage, and scheduled or on-demand audit log exports.</w:t>
            </w:r>
          </w:p>
        </w:tc>
      </w:tr>
      <w:tr>
        <w:tc>
          <w:tcPr>
            <w:tcW w:type="dxa" w:w="2592"/>
            <w:shd w:val="clear" w:color="auto" w:fill="EEF0F6"/>
          </w:tcPr>
          <w:p>
            <w:pPr>
              <w:spacing w:after="0" w:line="264" w:lineRule="auto"/>
            </w:pPr>
            <w:r>
              <w:rPr>
                <w:rFonts w:ascii="Space Grotesk" w:hAnsi="Space Grotesk" w:cs="Space Grotesk" w:eastAsia="Space Grotesk"/>
                <w:b/>
                <w:i w:val="0"/>
                <w:sz w:val="19"/>
              </w:rPr>
              <w:t>Alerting &amp; Notifications</w:t>
            </w:r>
          </w:p>
        </w:tc>
        <w:tc>
          <w:tcPr>
            <w:tcW w:type="dxa" w:w="6768"/>
            <w:shd w:val="clear" w:color="auto" w:fill="EEF0F6"/>
          </w:tcPr>
          <w:p>
            <w:pPr>
              <w:spacing w:after="0" w:line="264" w:lineRule="auto"/>
            </w:pPr>
            <w:r>
              <w:rPr>
                <w:rFonts w:ascii="Space Grotesk" w:hAnsi="Space Grotesk" w:cs="Space Grotesk" w:eastAsia="Space Grotesk"/>
                <w:b w:val="0"/>
                <w:i w:val="0"/>
                <w:sz w:val="19"/>
              </w:rPr>
              <w:t>Slack, webhook, and Amazon SNS notification channels for the organization's SOC workflows. No automated remediation actions are configured. Alerts are informational and route to the organization's own response process.</w:t>
            </w:r>
          </w:p>
        </w:tc>
      </w:tr>
      <w:tr>
        <w:tc>
          <w:tcPr>
            <w:tcW w:type="dxa" w:w="2592"/>
          </w:tcPr>
          <w:p>
            <w:pPr>
              <w:spacing w:after="0" w:line="264" w:lineRule="auto"/>
            </w:pPr>
            <w:r>
              <w:rPr>
                <w:rFonts w:ascii="Space Grotesk" w:hAnsi="Space Grotesk" w:cs="Space Grotesk" w:eastAsia="Space Grotesk"/>
                <w:b/>
                <w:i w:val="0"/>
                <w:sz w:val="19"/>
              </w:rPr>
              <w:t>Native CNAPP Integration</w:t>
            </w:r>
          </w:p>
        </w:tc>
        <w:tc>
          <w:tcPr>
            <w:tcW w:type="dxa" w:w="6768"/>
          </w:tcPr>
          <w:p>
            <w:pPr>
              <w:spacing w:after="0" w:line="264" w:lineRule="auto"/>
            </w:pPr>
            <w:r>
              <w:rPr>
                <w:rFonts w:ascii="Space Grotesk" w:hAnsi="Space Grotesk" w:cs="Space Grotesk" w:eastAsia="Space Grotesk"/>
                <w:b w:val="0"/>
                <w:i w:val="0"/>
                <w:sz w:val="19"/>
              </w:rPr>
              <w:t>SIEM alerts and cloud telemetry feed into AccuKnox CNAPP's asset and findings views for teams already using AccuKnox CSPM/CWPP.</w:t>
            </w:r>
          </w:p>
        </w:tc>
      </w:tr>
      <w:tr>
        <w:tc>
          <w:tcPr>
            <w:tcW w:type="dxa" w:w="2592"/>
            <w:shd w:val="clear" w:color="auto" w:fill="EEF0F6"/>
          </w:tcPr>
          <w:p>
            <w:pPr>
              <w:spacing w:after="0" w:line="264" w:lineRule="auto"/>
            </w:pPr>
            <w:r>
              <w:rPr>
                <w:rFonts w:ascii="Space Grotesk" w:hAnsi="Space Grotesk" w:cs="Space Grotesk" w:eastAsia="Space Grotesk"/>
                <w:b/>
                <w:i w:val="0"/>
                <w:sz w:val="19"/>
              </w:rPr>
              <w:t>RBAC &amp; Multi-tenancy</w:t>
            </w:r>
          </w:p>
        </w:tc>
        <w:tc>
          <w:tcPr>
            <w:tcW w:type="dxa" w:w="6768"/>
            <w:shd w:val="clear" w:color="auto" w:fill="EEF0F6"/>
          </w:tcPr>
          <w:p>
            <w:pPr>
              <w:spacing w:after="0" w:line="264" w:lineRule="auto"/>
            </w:pPr>
            <w:r>
              <w:rPr>
                <w:rFonts w:ascii="Space Grotesk" w:hAnsi="Space Grotesk" w:cs="Space Grotesk" w:eastAsia="Space Grotesk"/>
                <w:b w:val="0"/>
                <w:i w:val="0"/>
                <w:sz w:val="19"/>
              </w:rPr>
              <w:t>Multi-tenant architecture with granular role-based access control and SSO/SAML/MFA support; per-tenant custom views and reports.</w:t>
            </w:r>
          </w:p>
        </w:tc>
      </w:tr>
    </w:tbl>
    <w:p>
      <w:pPr>
        <w:spacing w:after="120" w:before="0" w:line="276" w:lineRule="auto"/>
      </w:pPr>
    </w:p>
    <w:p>
      <w:pPr>
        <w:pStyle w:val="Heading1"/>
        <w:keepNext/>
        <w:pageBreakBefore/>
        <w:spacing w:before="0" w:after="160"/>
        <w:jc w:val="left"/>
      </w:pPr>
      <w:r>
        <w:rPr>
          <w:rFonts w:ascii="Space Grotesk" w:hAnsi="Space Grotesk" w:cs="Space Grotesk" w:eastAsia="Space Grotesk"/>
          <w:b/>
          <w:i w:val="0"/>
          <w:sz w:val="36"/>
        </w:rPr>
        <w:t>Integration &amp; Interoperability Strategy</w:t>
      </w:r>
    </w:p>
    <w:p>
      <w:pPr>
        <w:spacing w:after="120" w:before="0" w:line="276" w:lineRule="auto"/>
      </w:pPr>
      <w:r>
        <w:rPr>
          <w:rFonts w:ascii="Space Grotesk" w:hAnsi="Space Grotesk" w:cs="Space Grotesk" w:eastAsia="Space Grotesk"/>
          <w:b w:val="0"/>
          <w:i w:val="0"/>
          <w:sz w:val="21"/>
        </w:rPr>
        <w:t>AccuKnox SIEM covers all fifteen of the organization's priority log sources identified during discovery, alongside 70+ additional integrations available on the platform (Appendix B has a snapshot).</w:t>
      </w:r>
    </w:p>
    <w:p>
      <w:pPr>
        <w:pStyle w:val="Heading3"/>
        <w:keepNext/>
        <w:spacing w:before="200" w:after="80"/>
        <w:jc w:val="left"/>
      </w:pPr>
      <w:r>
        <w:rPr>
          <w:rFonts w:ascii="Space Grotesk" w:hAnsi="Space Grotesk" w:cs="Space Grotesk" w:eastAsia="Space Grotesk"/>
          <w:b/>
          <w:i w:val="0"/>
          <w:sz w:val="23"/>
        </w:rPr>
        <w:t>1. Cloud platforms, native onboarding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AWS: </w:t>
      </w:r>
      <w:r>
        <w:rPr>
          <w:rFonts w:ascii="Space Grotesk" w:hAnsi="Space Grotesk" w:cs="Space Grotesk" w:eastAsia="Space Grotesk"/>
          <w:b w:val="0"/>
          <w:i w:val="0"/>
          <w:sz w:val="21"/>
        </w:rPr>
        <w:t>CloudTrail, VPC Flow Logs, WAF, Config, Route 53, Network Firewall, onboarded together via the standard CloudFormation onboarding template.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GCP: </w:t>
      </w:r>
      <w:r>
        <w:rPr>
          <w:rFonts w:ascii="Space Grotesk" w:hAnsi="Space Grotesk" w:cs="Space Grotesk" w:eastAsia="Space Grotesk"/>
          <w:b w:val="0"/>
          <w:i w:val="0"/>
          <w:sz w:val="21"/>
        </w:rPr>
        <w:t>audit and activity logs via Cloud Logging log sink.</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OCI: </w:t>
      </w:r>
      <w:r>
        <w:rPr>
          <w:rFonts w:ascii="Space Grotesk" w:hAnsi="Space Grotesk" w:cs="Space Grotesk" w:eastAsia="Space Grotesk"/>
          <w:b w:val="0"/>
          <w:i w:val="0"/>
          <w:sz w:val="21"/>
        </w:rPr>
        <w:t>audit logs via the OCI Logging service.</w:t>
      </w:r>
    </w:p>
    <w:p>
      <w:pPr>
        <w:pStyle w:val="Heading3"/>
        <w:keepNext/>
        <w:spacing w:before="200" w:after="80"/>
        <w:jc w:val="left"/>
      </w:pPr>
      <w:r>
        <w:rPr>
          <w:rFonts w:ascii="Space Grotesk" w:hAnsi="Space Grotesk" w:cs="Space Grotesk" w:eastAsia="Space Grotesk"/>
          <w:b/>
          <w:i w:val="0"/>
          <w:sz w:val="23"/>
        </w:rPr>
        <w:t>2. SaaS and endpoint, API connectors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Identity &amp; collaboration: </w:t>
      </w:r>
      <w:r>
        <w:rPr>
          <w:rFonts w:ascii="Space Grotesk" w:hAnsi="Space Grotesk" w:cs="Space Grotesk" w:eastAsia="Space Grotesk"/>
          <w:b w:val="0"/>
          <w:i w:val="0"/>
          <w:sz w:val="21"/>
        </w:rPr>
        <w:t>Google Workspace, Slack, Jamf.</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Data &amp; workload: </w:t>
      </w:r>
      <w:r>
        <w:rPr>
          <w:rFonts w:ascii="Space Grotesk" w:hAnsi="Space Grotesk" w:cs="Space Grotesk" w:eastAsia="Space Grotesk"/>
          <w:b w:val="0"/>
          <w:i w:val="0"/>
          <w:sz w:val="21"/>
        </w:rPr>
        <w:t>MongoDB Atlas, CrowdStrike FDR, AquaSec.</w:t>
      </w:r>
    </w:p>
    <w:p>
      <w:pPr>
        <w:pStyle w:val="Heading3"/>
        <w:keepNext/>
        <w:spacing w:before="200" w:after="80"/>
        <w:jc w:val="left"/>
      </w:pPr>
      <w:r>
        <w:rPr>
          <w:rFonts w:ascii="Space Grotesk" w:hAnsi="Space Grotesk" w:cs="Space Grotesk" w:eastAsia="Space Grotesk"/>
          <w:b/>
          <w:i w:val="0"/>
          <w:sz w:val="23"/>
        </w:rPr>
        <w:t>3. Network appliances, syslog middleware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Cisco Meraki and Palo Alto firewalls forward Syslog to a dedicated Syslog VM, which converts events to JSON before AccuKnox SIEM ingests them via Bulk API. Full architecture in Appendix D.</w:t>
      </w:r>
    </w:p>
    <w:p>
      <w:pPr>
        <w:pStyle w:val="Heading3"/>
        <w:keepNext/>
        <w:spacing w:before="200" w:after="80"/>
        <w:jc w:val="left"/>
      </w:pPr>
      <w:r>
        <w:rPr>
          <w:rFonts w:ascii="Space Grotesk" w:hAnsi="Space Grotesk" w:cs="Space Grotesk" w:eastAsia="Space Grotesk"/>
          <w:b/>
          <w:i w:val="0"/>
          <w:sz w:val="23"/>
        </w:rPr>
        <w:t>4. Notification and ticketing (informational only)</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Slack, webhooks, and Amazon SNS route alerts to the organization's existing SOC workflow. As scoped, these channels are for notification. No automated remediation or write-back actions are configured.</w:t>
      </w:r>
    </w:p>
    <w:p>
      <w:pPr>
        <w:pStyle w:val="Heading1"/>
        <w:keepNext/>
        <w:pageBreakBefore/>
        <w:spacing w:before="0" w:after="160"/>
        <w:jc w:val="left"/>
      </w:pPr>
      <w:r>
        <w:rPr>
          <w:rFonts w:ascii="Space Grotesk" w:hAnsi="Space Grotesk" w:cs="Space Grotesk" w:eastAsia="Space Grotesk"/>
          <w:b/>
          <w:i w:val="0"/>
          <w:sz w:val="36"/>
        </w:rPr>
        <w:t>Phased Deployment Roadmap</w:t>
      </w:r>
    </w:p>
    <w:p>
      <w:pPr>
        <w:spacing w:after="120" w:before="0" w:line="276" w:lineRule="auto"/>
      </w:pPr>
      <w:r>
        <w:rPr>
          <w:rFonts w:ascii="Space Grotesk" w:hAnsi="Space Grotesk" w:cs="Space Grotesk" w:eastAsia="Space Grotesk"/>
          <w:b w:val="0"/>
          <w:i w:val="0"/>
          <w:sz w:val="21"/>
        </w:rPr>
        <w:t>We recommend a time-boxed, three-phase rollout. Each phase is scoped to minimize risk and validate results before moving to the next.</w:t>
      </w:r>
    </w:p>
    <w:p>
      <w:pPr>
        <w:pStyle w:val="Heading2"/>
        <w:keepNext/>
        <w:spacing w:before="260" w:after="100"/>
        <w:jc w:val="left"/>
      </w:pPr>
      <w:r>
        <w:rPr>
          <w:rFonts w:ascii="Space Grotesk" w:hAnsi="Space Grotesk" w:cs="Space Grotesk" w:eastAsia="Space Grotesk"/>
          <w:b/>
          <w:i w:val="0"/>
          <w:sz w:val="27"/>
        </w:rPr>
        <w:t>Phase 1: Log Source Onboarding &amp; Ingestion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Onboard AWS CloudTrail, VPC Flow Logs, WAF, Config, Route 53, and Network Firewall via the CloudFormation onboarding template.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Connect GCP audit/activity logs and OCI audit logs through their native log-export services.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Connect Google Workspace, MongoDB, Slack, Jamf, CrowdStrike FDR, and AquaSec via their respective APIs.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Deploy the Syslog VM middleware and onboard Cisco Meraki and Palo Alto firewall logs.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Validate ingestion rates and confirm 1-year retention with the 6-month searchable window is indexing correctly.</w:t>
      </w:r>
    </w:p>
    <w:p>
      <w:pPr>
        <w:pStyle w:val="Heading2"/>
        <w:keepNext/>
        <w:spacing w:before="260" w:after="100"/>
        <w:jc w:val="left"/>
      </w:pPr>
      <w:r>
        <w:rPr>
          <w:rFonts w:ascii="Space Grotesk" w:hAnsi="Space Grotesk" w:cs="Space Grotesk" w:eastAsia="Space Grotesk"/>
          <w:b/>
          <w:i w:val="0"/>
          <w:sz w:val="27"/>
        </w:rPr>
        <w:t>Phase 2: Threat Detection &amp; Threat Intelligence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Enable out-of-the-box detection rules for AWS CloudTrail, GCP, and Kubernetes.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Author and tune custom detectors for CrowdStrike, AquaSec, MongoDB, Google Workspace, Meraki, and Palo Alto log patterns.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Enable threat-intelligence enrichment (AlienVault and others) and MITRE ATT&amp;CK mapping.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Configure anomaly-detection baselines and multivector correlations across identity, cloud, and network sources.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Push detection alerts into AccuKnox CNAPP for a unified findings view, where applicable.</w:t>
      </w:r>
    </w:p>
    <w:p>
      <w:pPr>
        <w:pStyle w:val="Heading2"/>
        <w:keepNext/>
        <w:spacing w:before="260" w:after="100"/>
        <w:jc w:val="left"/>
      </w:pPr>
      <w:r>
        <w:rPr>
          <w:rFonts w:ascii="Space Grotesk" w:hAnsi="Space Grotesk" w:cs="Space Grotesk" w:eastAsia="Space Grotesk"/>
          <w:b/>
          <w:i w:val="0"/>
          <w:sz w:val="27"/>
        </w:rPr>
        <w:t>Phase 3: Dashboards, Alerting &amp; Compliance Reporting</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Build organization-specific dashboards: SOC overview, per-source detections, MITRE heatmap, and compliance widgets.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Configure alerting to Slack, Jira, ServiceNow, or email with tuned thresholds and de-duplication.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Enable scheduled audit log exports (JSON/CSV) for compliance reviews and validate retention exports end to end.</w:t>
      </w:r>
    </w:p>
    <w:p>
      <w:pPr>
        <w:pStyle w:val="Heading1"/>
        <w:keepNext/>
        <w:pageBreakBefore/>
        <w:spacing w:before="0" w:after="160"/>
        <w:jc w:val="left"/>
      </w:pPr>
      <w:r>
        <w:rPr>
          <w:rFonts w:ascii="Space Grotesk" w:hAnsi="Space Grotesk" w:cs="Space Grotesk" w:eastAsia="Space Grotesk"/>
          <w:b/>
          <w:i w:val="0"/>
          <w:sz w:val="36"/>
        </w:rPr>
        <w:t>Security, Compliance &amp; Auditability</w:t>
      </w:r>
    </w:p>
    <w:p>
      <w:pPr>
        <w:spacing w:after="120" w:before="0" w:line="276" w:lineRule="auto"/>
      </w:pPr>
      <w:r>
        <w:rPr>
          <w:rFonts w:ascii="Space Grotesk" w:hAnsi="Space Grotesk" w:cs="Space Grotesk" w:eastAsia="Space Grotesk"/>
          <w:b w:val="0"/>
          <w:i w:val="0"/>
          <w:sz w:val="21"/>
        </w:rPr>
        <w:t>AccuKnox SIEM's retention, search, and export model is built to support standard audit and compliance workflows. The platform's design aligns with:</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ISO/IEC 27001: </w:t>
      </w:r>
      <w:r>
        <w:rPr>
          <w:rFonts w:ascii="Space Grotesk" w:hAnsi="Space Grotesk" w:cs="Space Grotesk" w:eastAsia="Space Grotesk"/>
          <w:b w:val="0"/>
          <w:i w:val="0"/>
          <w:sz w:val="21"/>
        </w:rPr>
        <w:t>information security management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SOC 2: </w:t>
      </w:r>
      <w:r>
        <w:rPr>
          <w:rFonts w:ascii="Space Grotesk" w:hAnsi="Space Grotesk" w:cs="Space Grotesk" w:eastAsia="Space Grotesk"/>
          <w:b w:val="0"/>
          <w:i w:val="0"/>
          <w:sz w:val="21"/>
        </w:rPr>
        <w:t>security, availability, and confidentiality trust principles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PCI DSS: </w:t>
      </w:r>
      <w:r>
        <w:rPr>
          <w:rFonts w:ascii="Space Grotesk" w:hAnsi="Space Grotesk" w:cs="Space Grotesk" w:eastAsia="Space Grotesk"/>
          <w:b w:val="0"/>
          <w:i w:val="0"/>
          <w:sz w:val="21"/>
        </w:rPr>
        <w:t>logging and monitoring requirements for cardholder data environments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GDPR: </w:t>
      </w:r>
      <w:r>
        <w:rPr>
          <w:rFonts w:ascii="Space Grotesk" w:hAnsi="Space Grotesk" w:cs="Space Grotesk" w:eastAsia="Space Grotesk"/>
          <w:b w:val="0"/>
          <w:i w:val="0"/>
          <w:sz w:val="21"/>
        </w:rPr>
        <w:t>data protection and audit-trail requirements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NIST SP 800-207: </w:t>
      </w:r>
      <w:r>
        <w:rPr>
          <w:rFonts w:ascii="Space Grotesk" w:hAnsi="Space Grotesk" w:cs="Space Grotesk" w:eastAsia="Space Grotesk"/>
          <w:b w:val="0"/>
          <w:i w:val="0"/>
          <w:sz w:val="21"/>
        </w:rPr>
        <w:t>Zero Trust architecture principles</w:t>
      </w:r>
    </w:p>
    <w:p>
      <w:pPr>
        <w:spacing w:after="120" w:before="120" w:line="276" w:lineRule="auto"/>
      </w:pPr>
      <w:r>
        <w:rPr>
          <w:rFonts w:ascii="Space Grotesk" w:hAnsi="Space Grotesk" w:cs="Space Grotesk" w:eastAsia="Space Grotesk"/>
          <w:b w:val="0"/>
          <w:i w:val="0"/>
          <w:sz w:val="21"/>
        </w:rPr>
        <w:t>For the organization's specific compliance program, we recommend confirming applicable frameworks during the POC so dashboards and audit-export formats can be tuned accordingly from day one.</w:t>
      </w:r>
    </w:p>
    <w:p>
      <w:pPr>
        <w:pStyle w:val="Heading1"/>
        <w:keepNext/>
        <w:pageBreakBefore w:val="0"/>
        <w:spacing w:before="400" w:after="160"/>
        <w:jc w:val="left"/>
      </w:pPr>
      <w:r>
        <w:rPr>
          <w:rFonts w:ascii="Space Grotesk" w:hAnsi="Space Grotesk" w:cs="Space Grotesk" w:eastAsia="Space Grotesk"/>
          <w:b/>
          <w:i w:val="0"/>
          <w:sz w:val="36"/>
        </w:rPr>
        <w:t>Business Impact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Tool consolidation: </w:t>
      </w:r>
      <w:r>
        <w:rPr>
          <w:rFonts w:ascii="Space Grotesk" w:hAnsi="Space Grotesk" w:cs="Space Grotesk" w:eastAsia="Space Grotesk"/>
          <w:b w:val="0"/>
          <w:i w:val="0"/>
          <w:sz w:val="21"/>
        </w:rPr>
        <w:t>replace fragmented log tooling across AWS, GCP, OCI, SaaS, and network appliances with a single cloud-native SIEM. One platform, one retention policy, one search experience.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Reduced infrastructure overhead: </w:t>
      </w:r>
      <w:r>
        <w:rPr>
          <w:rFonts w:ascii="Space Grotesk" w:hAnsi="Space Grotesk" w:cs="Space Grotesk" w:eastAsia="Space Grotesk"/>
          <w:b w:val="0"/>
          <w:i w:val="0"/>
          <w:sz w:val="21"/>
        </w:rPr>
        <w:t>cloud-native ingestion pipelines scale to 100K events/sec and 1TB/day per tenant without forwarder farms or heavy on-prem infrastructure. The syslog VM is the only piece of infrastructure the organization needs to run.</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Operational efficiency: </w:t>
      </w:r>
      <w:r>
        <w:rPr>
          <w:rFonts w:ascii="Space Grotesk" w:hAnsi="Space Grotesk" w:cs="Space Grotesk" w:eastAsia="Space Grotesk"/>
          <w:b w:val="0"/>
          <w:i w:val="0"/>
          <w:sz w:val="21"/>
        </w:rPr>
        <w:t>correlation and MITRE-aligned prioritization reduce alert noise, cutting the time SOC analysts spend triaging low-value alerts.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Faster investigations: </w:t>
      </w:r>
      <w:r>
        <w:rPr>
          <w:rFonts w:ascii="Space Grotesk" w:hAnsi="Space Grotesk" w:cs="Space Grotesk" w:eastAsia="Space Grotesk"/>
          <w:b w:val="0"/>
          <w:i w:val="0"/>
          <w:sz w:val="21"/>
        </w:rPr>
        <w:t>metadata-based indexing keeps 6-month search fast, so audits and incident investigations don't wait on raw log scans.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Audit and retention cost reduction: </w:t>
      </w:r>
      <w:r>
        <w:rPr>
          <w:rFonts w:ascii="Space Grotesk" w:hAnsi="Space Grotesk" w:cs="Space Grotesk" w:eastAsia="Space Grotesk"/>
          <w:b w:val="0"/>
          <w:i w:val="0"/>
          <w:sz w:val="21"/>
        </w:rPr>
        <w:t>1-year retention with a 6-month searchable window and one-click audit log exports cut audit-preparation time.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Scalable for growth: </w:t>
      </w:r>
      <w:r>
        <w:rPr>
          <w:rFonts w:ascii="Space Grotesk" w:hAnsi="Space Grotesk" w:cs="Space Grotesk" w:eastAsia="Space Grotesk"/>
          <w:b w:val="0"/>
          <w:i w:val="0"/>
          <w:sz w:val="21"/>
        </w:rPr>
        <w:t>per-tenant RBAC, dashboards, and ingestion controls scale cleanly as the organization adds business units, environments, or geographies.</w:t>
      </w:r>
    </w:p>
    <w:p>
      <w:pPr>
        <w:pStyle w:val="Heading1"/>
        <w:keepNext/>
        <w:pageBreakBefore w:val="0"/>
        <w:spacing w:before="400" w:after="160"/>
        <w:jc w:val="left"/>
      </w:pPr>
      <w:r>
        <w:rPr>
          <w:rFonts w:ascii="Space Grotesk" w:hAnsi="Space Grotesk" w:cs="Space Grotesk" w:eastAsia="Space Grotesk"/>
          <w:b/>
          <w:i w:val="0"/>
          <w:sz w:val="36"/>
        </w:rPr>
        <w:t>Support &amp; Service-Level Commitment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24/7 product support, per the agreed commercial terms.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A dedicated Technical Account Manager (TAM).</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Quarterly health checks and improvement recommendations.</w:t>
      </w:r>
    </w:p>
    <w:p>
      <w:pPr>
        <w:pStyle w:val="Heading1"/>
        <w:keepNext/>
        <w:pageBreakBefore w:val="0"/>
        <w:spacing w:before="400" w:after="160"/>
        <w:jc w:val="left"/>
      </w:pPr>
      <w:r>
        <w:rPr>
          <w:rFonts w:ascii="Space Grotesk" w:hAnsi="Space Grotesk" w:cs="Space Grotesk" w:eastAsia="Space Grotesk"/>
          <w:b/>
          <w:i w:val="0"/>
          <w:sz w:val="36"/>
        </w:rPr>
        <w:t>Proposal Summary</w:t>
      </w:r>
    </w:p>
    <w:p>
      <w:pPr>
        <w:spacing w:after="120" w:before="0" w:line="276" w:lineRule="auto"/>
      </w:pPr>
      <w:r>
        <w:rPr>
          <w:rFonts w:ascii="Space Grotesk" w:hAnsi="Space Grotesk" w:cs="Space Grotesk" w:eastAsia="Space Grotesk"/>
          <w:b w:val="0"/>
          <w:i w:val="0"/>
          <w:sz w:val="21"/>
        </w:rPr>
        <w:t>AccuKnox SIEM meets the organization's requirements across all fifteen log sources identified during discovery, with a retention and search model built specifically around the 1-year / 6-month compliance requirement.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Log ingestion &amp; search: </w:t>
      </w:r>
      <w:r>
        <w:rPr>
          <w:rFonts w:ascii="Space Grotesk" w:hAnsi="Space Grotesk" w:cs="Space Grotesk" w:eastAsia="Space Grotesk"/>
          <w:b w:val="0"/>
          <w:i w:val="0"/>
          <w:sz w:val="21"/>
        </w:rPr>
        <w:t>AWS (CloudTrail, VPC, WAF, Config, Route 53, Network Firewall), GCP, OCI, Google Workspace, MongoDB, Slack, Jamf, Cisco Meraki, CrowdStrike FDR, AquaSec, and Palo Alto, ingested at scale (100K events/sec, 1TB/day/tenant).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Threat detection &amp; MITRE ATT&amp;CK: </w:t>
      </w:r>
      <w:r>
        <w:rPr>
          <w:rFonts w:ascii="Space Grotesk" w:hAnsi="Space Grotesk" w:cs="Space Grotesk" w:eastAsia="Space Grotesk"/>
          <w:b w:val="0"/>
          <w:i w:val="0"/>
          <w:sz w:val="21"/>
        </w:rPr>
        <w:t>out-of-the-box AWS CloudTrail detection rules plus custom detectors for the organization's stack, enriched with threat intelligence.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Retention &amp; search: </w:t>
      </w:r>
      <w:r>
        <w:rPr>
          <w:rFonts w:ascii="Space Grotesk" w:hAnsi="Space Grotesk" w:cs="Space Grotesk" w:eastAsia="Space Grotesk"/>
          <w:b w:val="0"/>
          <w:i w:val="0"/>
          <w:sz w:val="21"/>
        </w:rPr>
        <w:t>1-year retention, 6-month searchable window, metadata-based indexing, and on-demand audit log export.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Native CNAPP hand-off &amp; multi-tenancy: </w:t>
      </w:r>
      <w:r>
        <w:rPr>
          <w:rFonts w:ascii="Space Grotesk" w:hAnsi="Space Grotesk" w:cs="Space Grotesk" w:eastAsia="Space Grotesk"/>
          <w:b w:val="0"/>
          <w:i w:val="0"/>
          <w:sz w:val="21"/>
        </w:rPr>
        <w:t>SIEM alerts feed AccuKnox CNAPP's asset/findings views; per-tenant RBAC and dashboards for the organization's teams and business units.</w:t>
      </w:r>
    </w:p>
    <w:p>
      <w:pPr>
        <w:spacing w:after="120" w:before="120" w:line="276" w:lineRule="auto"/>
      </w:pPr>
      <w:r>
        <w:rPr>
          <w:rFonts w:ascii="Space Grotesk" w:hAnsi="Space Grotesk" w:cs="Space Grotesk" w:eastAsia="Space Grotesk"/>
          <w:b w:val="0"/>
          <w:i w:val="0"/>
          <w:sz w:val="21"/>
        </w:rPr>
        <w:t>We would be glad to run a structured POC with the organization to validate ingestion, detection, and retention against real data before a full commercial rollout. See Appendix C for the proposed timeline.</w:t>
      </w:r>
    </w:p>
    <w:p>
      <w:pPr>
        <w:pStyle w:val="Heading1"/>
        <w:keepNext/>
        <w:pageBreakBefore/>
        <w:spacing w:before="0" w:after="160"/>
        <w:jc w:val="left"/>
      </w:pPr>
      <w:r>
        <w:rPr>
          <w:rFonts w:ascii="Space Grotesk" w:hAnsi="Space Grotesk" w:cs="Space Grotesk" w:eastAsia="Space Grotesk"/>
          <w:b/>
          <w:i w:val="0"/>
          <w:sz w:val="36"/>
        </w:rPr>
        <w:t>Appendix A: AccuKnox Multi-tenancy &amp; Scalability</w:t>
      </w:r>
    </w:p>
    <w:p>
      <w:pPr>
        <w:spacing w:after="120" w:before="0" w:line="276" w:lineRule="auto"/>
      </w:pPr>
      <w:r>
        <w:rPr>
          <w:rFonts w:ascii="Space Grotesk" w:hAnsi="Space Grotesk" w:cs="Space Grotesk" w:eastAsia="Space Grotesk"/>
          <w:b w:val="0"/>
          <w:i w:val="0"/>
          <w:sz w:val="21"/>
        </w:rPr>
        <w:t>AccuKnox is built on a multi-tenant architecture from the ground up, which is what allows the organization's environment to scale horizontally without a dedicated control plane per business unit.</w:t>
      </w:r>
    </w:p>
    <w:p>
      <w:pPr>
        <w:pStyle w:val="Heading2"/>
        <w:keepNext/>
        <w:spacing w:before="260" w:after="100"/>
        <w:jc w:val="left"/>
      </w:pPr>
      <w:r>
        <w:rPr>
          <w:rFonts w:ascii="Space Grotesk" w:hAnsi="Space Grotesk" w:cs="Space Grotesk" w:eastAsia="Space Grotesk"/>
          <w:b/>
          <w:i w:val="0"/>
          <w:sz w:val="27"/>
        </w:rPr>
        <w:t>Isolation model</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Hard isolation: </w:t>
      </w:r>
      <w:r>
        <w:rPr>
          <w:rFonts w:ascii="Space Grotesk" w:hAnsi="Space Grotesk" w:cs="Space Grotesk" w:eastAsia="Space Grotesk"/>
          <w:b w:val="0"/>
          <w:i w:val="0"/>
          <w:sz w:val="21"/>
        </w:rPr>
        <w:t>a dedicated instance of the app and database per customer. Strong isolation, higher operational cost.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Soft isolation: </w:t>
      </w:r>
      <w:r>
        <w:rPr>
          <w:rFonts w:ascii="Space Grotesk" w:hAnsi="Space Grotesk" w:cs="Space Grotesk" w:eastAsia="Space Grotesk"/>
          <w:b w:val="0"/>
          <w:i w:val="0"/>
          <w:sz w:val="21"/>
        </w:rPr>
        <w:t>customers share a database, but each has its own set of tables, a balance of isolation and cost. This is the default for most deployments.</w:t>
      </w:r>
    </w:p>
    <w:p>
      <w:pPr>
        <w:pStyle w:val="Heading2"/>
        <w:keepNext/>
        <w:spacing w:before="260" w:after="100"/>
        <w:jc w:val="left"/>
      </w:pPr>
      <w:r>
        <w:rPr>
          <w:rFonts w:ascii="Space Grotesk" w:hAnsi="Space Grotesk" w:cs="Space Grotesk" w:eastAsia="Space Grotesk"/>
          <w:b/>
          <w:i w:val="0"/>
          <w:sz w:val="27"/>
        </w:rPr>
        <w:t>Layered architecture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Layer 1: </w:t>
      </w:r>
      <w:r>
        <w:rPr>
          <w:rFonts w:ascii="Space Grotesk" w:hAnsi="Space Grotesk" w:cs="Space Grotesk" w:eastAsia="Space Grotesk"/>
          <w:b w:val="0"/>
          <w:i w:val="0"/>
          <w:sz w:val="21"/>
        </w:rPr>
        <w:t>Users, RBAC, and tenants.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Layer 2: </w:t>
      </w:r>
      <w:r>
        <w:rPr>
          <w:rFonts w:ascii="Space Grotesk" w:hAnsi="Space Grotesk" w:cs="Space Grotesk" w:eastAsia="Space Grotesk"/>
          <w:b w:val="0"/>
          <w:i w:val="0"/>
          <w:sz w:val="21"/>
        </w:rPr>
        <w:t>Backend jobs and execution management.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Layer 3: </w:t>
      </w:r>
      <w:r>
        <w:rPr>
          <w:rFonts w:ascii="Space Grotesk" w:hAnsi="Space Grotesk" w:cs="Space Grotesk" w:eastAsia="Space Grotesk"/>
          <w:b w:val="0"/>
          <w:i w:val="0"/>
          <w:sz w:val="21"/>
        </w:rPr>
        <w:t>Data isolation between tenants.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Layer 4: </w:t>
      </w:r>
      <w:r>
        <w:rPr>
          <w:rFonts w:ascii="Space Grotesk" w:hAnsi="Space Grotesk" w:cs="Space Grotesk" w:eastAsia="Space Grotesk"/>
          <w:b w:val="0"/>
          <w:i w:val="0"/>
          <w:sz w:val="21"/>
        </w:rPr>
        <w:t>Custom reporting, dashboards, and layouts per tenant.</w:t>
      </w:r>
    </w:p>
    <w:p>
      <w:pPr>
        <w:spacing w:after="120" w:before="120" w:line="276" w:lineRule="auto"/>
      </w:pPr>
      <w:r>
        <w:rPr>
          <w:rFonts w:ascii="Space Grotesk" w:hAnsi="Space Grotesk" w:cs="Space Grotesk" w:eastAsia="Space Grotesk"/>
          <w:b w:val="0"/>
          <w:i w:val="0"/>
          <w:sz w:val="21"/>
        </w:rPr>
        <w:t>A single user can belong to multiple tenants with different permissions in each, useful if, for example, a security team needs read access across two regional business units while engineering teams stay segregated.</w:t>
      </w:r>
    </w:p>
    <w:p>
      <w:pPr>
        <w:spacing w:before="160" w:after="60"/>
        <w:jc w:val="center"/>
      </w:pPr>
      <w:r>
        <w:drawing>
          <wp:inline>
            <wp:extent cx="5303520" cy="2916936"/>
            <wp:docPr id="8" name="Picture 8"/>
            <wp:cNvGraphicFramePr>
              <a:graphicFrameLocks noChangeAspect="1"/>
            </wp:cNvGraphicFramePr>
            <a:graphic>
              <a:graphicData uri="http://schemas.openxmlformats.org/drawingml/2006/picture">
                <pic:pic>
                  <pic:nvPicPr>
                    <pic:cNvPr id="0" name="p17_x57.png"/>
                    <pic:cNvPicPr/>
                  </pic:nvPicPr>
                  <pic:blipFill>
                    <a:blip r:embed="rId15"/>
                    <a:stretch>
                      <a:fillRect/>
                    </a:stretch>
                  </pic:blipFill>
                  <pic:spPr>
                    <a:xfrm>
                      <a:off x="0" y="0"/>
                      <a:ext cx="5303520" cy="2916936"/>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7. A user can hold different RBAC roles across multiple tenants.</w:t>
      </w:r>
    </w:p>
    <w:p>
      <w:pPr>
        <w:spacing w:before="160" w:after="60"/>
        <w:jc w:val="center"/>
      </w:pPr>
      <w:r>
        <w:drawing>
          <wp:inline>
            <wp:extent cx="3017520" cy="2236198"/>
            <wp:docPr id="9" name="Picture 9"/>
            <wp:cNvGraphicFramePr>
              <a:graphicFrameLocks noChangeAspect="1"/>
            </wp:cNvGraphicFramePr>
            <a:graphic>
              <a:graphicData uri="http://schemas.openxmlformats.org/drawingml/2006/picture">
                <pic:pic>
                  <pic:nvPicPr>
                    <pic:cNvPr id="0" name="p16_x53.png"/>
                    <pic:cNvPicPr/>
                  </pic:nvPicPr>
                  <pic:blipFill>
                    <a:blip r:embed="rId16"/>
                    <a:stretch>
                      <a:fillRect/>
                    </a:stretch>
                  </pic:blipFill>
                  <pic:spPr>
                    <a:xfrm>
                      <a:off x="0" y="0"/>
                      <a:ext cx="3017520" cy="2236198"/>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8. Regional tenant separation with shared or segregated team access.</w:t>
      </w:r>
    </w:p>
    <w:p>
      <w:pPr>
        <w:pStyle w:val="Heading2"/>
        <w:keepNext/>
        <w:spacing w:before="260" w:after="100"/>
        <w:jc w:val="left"/>
      </w:pPr>
      <w:r>
        <w:rPr>
          <w:rFonts w:ascii="Space Grotesk" w:hAnsi="Space Grotesk" w:cs="Space Grotesk" w:eastAsia="Space Grotesk"/>
          <w:b/>
          <w:i w:val="0"/>
          <w:sz w:val="27"/>
        </w:rPr>
        <w:t>Resource allocation and the noisy-neighbor problem</w:t>
      </w:r>
    </w:p>
    <w:p>
      <w:pPr>
        <w:spacing w:after="120" w:before="0" w:line="276" w:lineRule="auto"/>
      </w:pPr>
      <w:r>
        <w:rPr>
          <w:rFonts w:ascii="Space Grotesk" w:hAnsi="Space Grotesk" w:cs="Space Grotesk" w:eastAsia="Space Grotesk"/>
          <w:b w:val="0"/>
          <w:i w:val="0"/>
          <w:sz w:val="21"/>
        </w:rPr>
        <w:t>AccuKnox uses a hybrid allocation model: customers requiring hard isolation get a dedicated control plane, while multiple small or mid-size tenants share compute through Kubernetes-native soft isolation. To prevent one tenant's workload from starving another's, the classic “noisy neighbor” problem, AccuKnox uses Kueue for cluster-wide job scheduling and isolated, namespace-based replica sets for parser tasks.</w:t>
      </w:r>
    </w:p>
    <w:p>
      <w:pPr>
        <w:pStyle w:val="Heading2"/>
        <w:keepNext/>
        <w:spacing w:before="260" w:after="100"/>
        <w:jc w:val="left"/>
      </w:pPr>
      <w:r>
        <w:rPr>
          <w:rFonts w:ascii="Space Grotesk" w:hAnsi="Space Grotesk" w:cs="Space Grotesk" w:eastAsia="Space Grotesk"/>
          <w:b/>
          <w:i w:val="0"/>
          <w:sz w:val="27"/>
        </w:rPr>
        <w:t>Data isolation</w:t>
      </w:r>
    </w:p>
    <w:p>
      <w:pPr>
        <w:spacing w:after="120" w:before="0" w:line="276" w:lineRule="auto"/>
      </w:pPr>
      <w:r>
        <w:rPr>
          <w:rFonts w:ascii="Space Grotesk" w:hAnsi="Space Grotesk" w:cs="Space Grotesk" w:eastAsia="Space Grotesk"/>
          <w:b w:val="0"/>
          <w:i w:val="0"/>
          <w:sz w:val="21"/>
        </w:rPr>
        <w:t>Tenant data is isolated at the storage layer without spinning up a separate database instance per customer: each tenant gets its own PostgreSQL tables, and its own MongoDB collections, each with independent access control, which keeps the blast radius contained if one tenant's access is compromised.</w:t>
      </w:r>
    </w:p>
    <w:p>
      <w:pPr>
        <w:spacing w:before="160" w:after="60"/>
        <w:jc w:val="center"/>
      </w:pPr>
      <w:r>
        <w:drawing>
          <wp:inline>
            <wp:extent cx="2834640" cy="3073881"/>
            <wp:docPr id="10" name="Picture 10"/>
            <wp:cNvGraphicFramePr>
              <a:graphicFrameLocks noChangeAspect="1"/>
            </wp:cNvGraphicFramePr>
            <a:graphic>
              <a:graphicData uri="http://schemas.openxmlformats.org/drawingml/2006/picture">
                <pic:pic>
                  <pic:nvPicPr>
                    <pic:cNvPr id="0" name="p18_x60.png"/>
                    <pic:cNvPicPr/>
                  </pic:nvPicPr>
                  <pic:blipFill>
                    <a:blip r:embed="rId17"/>
                    <a:stretch>
                      <a:fillRect/>
                    </a:stretch>
                  </pic:blipFill>
                  <pic:spPr>
                    <a:xfrm>
                      <a:off x="0" y="0"/>
                      <a:ext cx="2834640" cy="3073881"/>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9. Per-tenant data isolation at the storage layer.</w:t>
      </w:r>
    </w:p>
    <w:p>
      <w:pPr>
        <w:pStyle w:val="Heading2"/>
        <w:keepNext/>
        <w:spacing w:before="260" w:after="100"/>
        <w:jc w:val="left"/>
      </w:pPr>
      <w:r>
        <w:rPr>
          <w:rFonts w:ascii="Space Grotesk" w:hAnsi="Space Grotesk" w:cs="Space Grotesk" w:eastAsia="Space Grotesk"/>
          <w:b/>
          <w:i w:val="0"/>
          <w:sz w:val="27"/>
        </w:rPr>
        <w:t>Deployment models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SaaS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Customer cloud (AccuKnox control plane deployed in the customer's AWS/Azure/GCP)</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val="0"/>
          <w:i w:val="0"/>
          <w:sz w:val="21"/>
        </w:rPr>
        <w:t>On-premises / air-gapped</w:t>
      </w:r>
    </w:p>
    <w:p>
      <w:pPr>
        <w:spacing w:after="120" w:before="120" w:line="276" w:lineRule="auto"/>
      </w:pPr>
      <w:r>
        <w:rPr>
          <w:rFonts w:ascii="Space Grotesk" w:hAnsi="Space Grotesk" w:cs="Space Grotesk" w:eastAsia="Space Grotesk"/>
          <w:b w:val="0"/>
          <w:i w:val="0"/>
          <w:sz w:val="21"/>
        </w:rPr>
        <w:t>The same multi-tenancy architecture applies across all three models, and AccuKnox's control plane is already battle-tested at MSSP scale. One OEM partner alone onboards hundreds of tenants on a shared control plane.</w:t>
      </w:r>
    </w:p>
    <w:p>
      <w:pPr>
        <w:pStyle w:val="Heading1"/>
        <w:keepNext/>
        <w:pageBreakBefore/>
        <w:spacing w:before="0" w:after="160"/>
        <w:jc w:val="left"/>
      </w:pPr>
      <w:r>
        <w:rPr>
          <w:rFonts w:ascii="Space Grotesk" w:hAnsi="Space Grotesk" w:cs="Space Grotesk" w:eastAsia="Space Grotesk"/>
          <w:b/>
          <w:i w:val="0"/>
          <w:sz w:val="36"/>
        </w:rPr>
        <w:t>Appendix B: Integration Ecosystem</w:t>
      </w:r>
    </w:p>
    <w:p>
      <w:pPr>
        <w:spacing w:after="120" w:before="0" w:line="276" w:lineRule="auto"/>
      </w:pPr>
      <w:r>
        <w:rPr>
          <w:rFonts w:ascii="Space Grotesk" w:hAnsi="Space Grotesk" w:cs="Space Grotesk" w:eastAsia="Space Grotesk"/>
          <w:b w:val="0"/>
          <w:i w:val="0"/>
          <w:sz w:val="21"/>
        </w:rPr>
        <w:t>AccuKnox integrates with 80+ ecosystem tools and frameworks across cloud, SIEM, CI/CD, and container platforms. The organization's committed scope is the fifteen sources in the Scope of Work section; the categories below show the broader AccuKnox SIEM integration catalog available if the organization's needs expand. The latest full list is available at accuknox.com/integrations.</w:t>
      </w:r>
    </w:p>
    <w:p>
      <w:pPr>
        <w:pStyle w:val="Heading2"/>
        <w:keepNext/>
        <w:spacing w:before="260" w:after="100"/>
        <w:jc w:val="left"/>
      </w:pPr>
      <w:r>
        <w:rPr>
          <w:rFonts w:ascii="Space Grotesk" w:hAnsi="Space Grotesk" w:cs="Space Grotesk" w:eastAsia="Space Grotesk"/>
          <w:b/>
          <w:i w:val="0"/>
          <w:sz w:val="27"/>
        </w:rPr>
        <w:t>AccuKnox SIEM integration categories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Identity: </w:t>
      </w:r>
      <w:r>
        <w:rPr>
          <w:rFonts w:ascii="Space Grotesk" w:hAnsi="Space Grotesk" w:cs="Space Grotesk" w:eastAsia="Space Grotesk"/>
          <w:b w:val="0"/>
          <w:i w:val="0"/>
          <w:sz w:val="21"/>
        </w:rPr>
        <w:t>AD/LDAP, Okta, Microsoft O365, GitHub, and AccuKnox CNAPP cloud findings.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Firewalls &amp; network appliances: </w:t>
      </w:r>
      <w:r>
        <w:rPr>
          <w:rFonts w:ascii="Space Grotesk" w:hAnsi="Space Grotesk" w:cs="Space Grotesk" w:eastAsia="Space Grotesk"/>
          <w:b w:val="0"/>
          <w:i w:val="0"/>
          <w:sz w:val="21"/>
        </w:rPr>
        <w:t>FortiGate, Palo Alto, and any syslog-capable firewall; routers and managed switches.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Cloud service providers: </w:t>
      </w:r>
      <w:r>
        <w:rPr>
          <w:rFonts w:ascii="Space Grotesk" w:hAnsi="Space Grotesk" w:cs="Space Grotesk" w:eastAsia="Space Grotesk"/>
          <w:b w:val="0"/>
          <w:i w:val="0"/>
          <w:sz w:val="21"/>
        </w:rPr>
        <w:t>AWS CloudTrail, Azure Logs, GCP Logs.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Endpoints: </w:t>
      </w:r>
      <w:r>
        <w:rPr>
          <w:rFonts w:ascii="Space Grotesk" w:hAnsi="Space Grotesk" w:cs="Space Grotesk" w:eastAsia="Space Grotesk"/>
          <w:b w:val="0"/>
          <w:i w:val="0"/>
          <w:sz w:val="21"/>
        </w:rPr>
        <w:t>Syslog, KubeArmor, Microsoft Defender, Microsoft Windows.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Kubernetes: </w:t>
      </w:r>
      <w:r>
        <w:rPr>
          <w:rFonts w:ascii="Space Grotesk" w:hAnsi="Space Grotesk" w:cs="Space Grotesk" w:eastAsia="Space Grotesk"/>
          <w:b w:val="0"/>
          <w:i w:val="0"/>
          <w:sz w:val="21"/>
        </w:rPr>
        <w:t>KubeArmor and Kubernetes API server logs.</w:t>
      </w:r>
    </w:p>
    <w:p>
      <w:pPr>
        <w:spacing w:before="160" w:after="60"/>
        <w:jc w:val="center"/>
      </w:pPr>
      <w:r>
        <w:drawing>
          <wp:inline>
            <wp:extent cx="4572000" cy="4339087"/>
            <wp:docPr id="11" name="Picture 11"/>
            <wp:cNvGraphicFramePr>
              <a:graphicFrameLocks noChangeAspect="1"/>
            </wp:cNvGraphicFramePr>
            <a:graphic>
              <a:graphicData uri="http://schemas.openxmlformats.org/drawingml/2006/picture">
                <pic:pic>
                  <pic:nvPicPr>
                    <pic:cNvPr id="0" name="p19_x63.png"/>
                    <pic:cNvPicPr/>
                  </pic:nvPicPr>
                  <pic:blipFill>
                    <a:blip r:embed="rId18"/>
                    <a:stretch>
                      <a:fillRect/>
                    </a:stretch>
                  </pic:blipFill>
                  <pic:spPr>
                    <a:xfrm>
                      <a:off x="0" y="0"/>
                      <a:ext cx="4572000" cy="4339087"/>
                    </a:xfrm>
                    <a:prstGeom prst="rect"/>
                  </pic:spPr>
                </pic:pic>
              </a:graphicData>
            </a:graphic>
          </wp:inline>
        </w:drawing>
      </w:r>
    </w:p>
    <w:p>
      <w:pPr>
        <w:spacing w:after="240" w:before="0" w:line="276" w:lineRule="auto"/>
        <w:jc w:val="center"/>
      </w:pPr>
      <w:r>
        <w:rPr>
          <w:rFonts w:ascii="Space Grotesk" w:hAnsi="Space Grotesk" w:cs="Space Grotesk" w:eastAsia="Space Grotesk"/>
          <w:b w:val="0"/>
          <w:i/>
          <w:color w:val="5A6478"/>
          <w:sz w:val="18"/>
        </w:rPr>
        <w:t>Figure 10. AccuKnox platform integration ecosystem.</w:t>
      </w:r>
    </w:p>
    <w:p>
      <w:pPr>
        <w:pStyle w:val="Heading1"/>
        <w:keepNext/>
        <w:pageBreakBefore/>
        <w:spacing w:before="0" w:after="160"/>
        <w:jc w:val="left"/>
      </w:pPr>
      <w:r>
        <w:rPr>
          <w:rFonts w:ascii="Space Grotesk" w:hAnsi="Space Grotesk" w:cs="Space Grotesk" w:eastAsia="Space Grotesk"/>
          <w:b/>
          <w:i w:val="0"/>
          <w:sz w:val="36"/>
        </w:rPr>
        <w:t>Appendix C: POC Timeline &amp; Checklist</w:t>
      </w:r>
    </w:p>
    <w:p>
      <w:pPr>
        <w:spacing w:after="120" w:before="0" w:line="276" w:lineRule="auto"/>
      </w:pPr>
      <w:r>
        <w:rPr>
          <w:rFonts w:ascii="Space Grotesk" w:hAnsi="Space Grotesk" w:cs="Space Grotesk" w:eastAsia="Space Grotesk"/>
          <w:b w:val="0"/>
          <w:i w:val="0"/>
          <w:sz w:val="21"/>
        </w:rPr>
        <w:t>The proposed POC validates AccuKnox SIEM against the organization's fifteen log sources and its 1-year / 6-month retention requirement in a structured, milestone-driven approach. SIEM ingestion and detection only, with no automated remediation actions in scope.</w:t>
      </w:r>
    </w:p>
    <w:p>
      <w:pPr>
        <w:pStyle w:val="Heading2"/>
        <w:keepNext/>
        <w:spacing w:before="260" w:after="100"/>
        <w:jc w:val="left"/>
      </w:pPr>
      <w:r>
        <w:rPr>
          <w:rFonts w:ascii="Space Grotesk" w:hAnsi="Space Grotesk" w:cs="Space Grotesk" w:eastAsia="Space Grotesk"/>
          <w:b/>
          <w:i w:val="0"/>
          <w:sz w:val="27"/>
        </w:rPr>
        <w:t>Checklist</w:t>
      </w:r>
    </w:p>
    <w:tbl>
      <w:tblPr>
        <w:tblW w:type="auto" w:w="0"/>
        <w:jc w:val="center"/>
        <w:tblLayout w:type="fixed"/>
        <w:tblLook w:firstColumn="1" w:firstRow="1" w:lastColumn="0" w:lastRow="0" w:noHBand="0" w:noVBand="1" w:val="04A0"/>
        <w:tblBorders>
          <w:top w:val="single" w:sz="6" w:space="0" w:color="C4CCDE"/>
          <w:left w:val="single" w:sz="6" w:space="0" w:color="C4CCDE"/>
          <w:bottom w:val="single" w:sz="6" w:space="0" w:color="C4CCDE"/>
          <w:right w:val="single" w:sz="6" w:space="0" w:color="C4CCDE"/>
          <w:insideH w:val="single" w:sz="6" w:space="0" w:color="C4CCDE"/>
          <w:insideV w:val="single" w:sz="6" w:space="0" w:color="C4CCDE"/>
        </w:tblBorders>
        <w:tblCellMar>
          <w:top w:w="80" w:type="dxa"/>
          <w:left w:w="110" w:type="dxa"/>
          <w:bottom w:w="80" w:type="dxa"/>
          <w:right w:w="110" w:type="dxa"/>
        </w:tblCellMar>
      </w:tblPr>
      <w:tblGrid>
        <w:gridCol w:w="4680"/>
        <w:gridCol w:w="4680"/>
      </w:tblGrid>
      <w:tr>
        <w:trPr>
          <w:tblHeader w:val="true"/>
        </w:trPr>
        <w:tc>
          <w:tcPr>
            <w:tcW w:type="dxa" w:w="2592"/>
            <w:shd w:val="clear" w:color="auto" w:fill="11206D"/>
          </w:tcPr>
          <w:p>
            <w:pPr>
              <w:spacing w:after="0"/>
            </w:pPr>
            <w:r>
              <w:rPr>
                <w:rFonts w:ascii="Space Grotesk" w:hAnsi="Space Grotesk" w:cs="Space Grotesk" w:eastAsia="Space Grotesk"/>
                <w:b/>
                <w:i w:val="0"/>
                <w:color w:val="FFFFFF"/>
                <w:sz w:val="20"/>
              </w:rPr>
              <w:t>Checklist Item</w:t>
            </w:r>
          </w:p>
        </w:tc>
        <w:tc>
          <w:tcPr>
            <w:tcW w:type="dxa" w:w="6768"/>
            <w:shd w:val="clear" w:color="auto" w:fill="11206D"/>
          </w:tcPr>
          <w:p>
            <w:pPr>
              <w:spacing w:after="0"/>
            </w:pPr>
            <w:r>
              <w:rPr>
                <w:rFonts w:ascii="Space Grotesk" w:hAnsi="Space Grotesk" w:cs="Space Grotesk" w:eastAsia="Space Grotesk"/>
                <w:b/>
                <w:i w:val="0"/>
                <w:color w:val="FFFFFF"/>
                <w:sz w:val="20"/>
              </w:rPr>
              <w:t>Validation Criteria</w:t>
            </w:r>
          </w:p>
        </w:tc>
      </w:tr>
      <w:tr>
        <w:tc>
          <w:tcPr>
            <w:tcW w:type="dxa" w:w="2592"/>
          </w:tcPr>
          <w:p>
            <w:pPr>
              <w:spacing w:after="0" w:line="264" w:lineRule="auto"/>
            </w:pPr>
            <w:r>
              <w:rPr>
                <w:rFonts w:ascii="Space Grotesk" w:hAnsi="Space Grotesk" w:cs="Space Grotesk" w:eastAsia="Space Grotesk"/>
                <w:b/>
                <w:i w:val="0"/>
                <w:sz w:val="19"/>
              </w:rPr>
              <w:t>Log Ingestion</w:t>
            </w:r>
          </w:p>
        </w:tc>
        <w:tc>
          <w:tcPr>
            <w:tcW w:type="dxa" w:w="6768"/>
          </w:tcPr>
          <w:p>
            <w:pPr>
              <w:spacing w:after="0" w:line="264" w:lineRule="auto"/>
            </w:pPr>
            <w:r>
              <w:rPr>
                <w:rFonts w:ascii="Space Grotesk" w:hAnsi="Space Grotesk" w:cs="Space Grotesk" w:eastAsia="Space Grotesk"/>
                <w:b w:val="0"/>
                <w:i w:val="0"/>
                <w:sz w:val="19"/>
              </w:rPr>
              <w:t>Validate ingestion from AWS, GCP, OCI, all SaaS/API sources, and the Syslog VM middleware for Meraki and Palo Alto.</w:t>
            </w:r>
          </w:p>
        </w:tc>
      </w:tr>
      <w:tr>
        <w:tc>
          <w:tcPr>
            <w:tcW w:type="dxa" w:w="2592"/>
            <w:shd w:val="clear" w:color="auto" w:fill="EEF0F6"/>
          </w:tcPr>
          <w:p>
            <w:pPr>
              <w:spacing w:after="0" w:line="264" w:lineRule="auto"/>
            </w:pPr>
            <w:r>
              <w:rPr>
                <w:rFonts w:ascii="Space Grotesk" w:hAnsi="Space Grotesk" w:cs="Space Grotesk" w:eastAsia="Space Grotesk"/>
                <w:b/>
                <w:i w:val="0"/>
                <w:sz w:val="19"/>
              </w:rPr>
              <w:t>Threat Detection</w:t>
            </w:r>
          </w:p>
        </w:tc>
        <w:tc>
          <w:tcPr>
            <w:tcW w:type="dxa" w:w="6768"/>
            <w:shd w:val="clear" w:color="auto" w:fill="EEF0F6"/>
          </w:tcPr>
          <w:p>
            <w:pPr>
              <w:spacing w:after="0" w:line="264" w:lineRule="auto"/>
            </w:pPr>
            <w:r>
              <w:rPr>
                <w:rFonts w:ascii="Space Grotesk" w:hAnsi="Space Grotesk" w:cs="Space Grotesk" w:eastAsia="Space Grotesk"/>
                <w:b w:val="0"/>
                <w:i w:val="0"/>
                <w:sz w:val="19"/>
              </w:rPr>
              <w:t>Confirm out-of-the-box and custom detectors trigger correctly against sample and live events.</w:t>
            </w:r>
          </w:p>
        </w:tc>
      </w:tr>
      <w:tr>
        <w:tc>
          <w:tcPr>
            <w:tcW w:type="dxa" w:w="2592"/>
          </w:tcPr>
          <w:p>
            <w:pPr>
              <w:spacing w:after="0" w:line="264" w:lineRule="auto"/>
            </w:pPr>
            <w:r>
              <w:rPr>
                <w:rFonts w:ascii="Space Grotesk" w:hAnsi="Space Grotesk" w:cs="Space Grotesk" w:eastAsia="Space Grotesk"/>
                <w:b/>
                <w:i w:val="0"/>
                <w:sz w:val="19"/>
              </w:rPr>
              <w:t>Threat Intelligence</w:t>
            </w:r>
          </w:p>
        </w:tc>
        <w:tc>
          <w:tcPr>
            <w:tcW w:type="dxa" w:w="6768"/>
          </w:tcPr>
          <w:p>
            <w:pPr>
              <w:spacing w:after="0" w:line="264" w:lineRule="auto"/>
            </w:pPr>
            <w:r>
              <w:rPr>
                <w:rFonts w:ascii="Space Grotesk" w:hAnsi="Space Grotesk" w:cs="Space Grotesk" w:eastAsia="Space Grotesk"/>
                <w:b w:val="0"/>
                <w:i w:val="0"/>
                <w:sz w:val="19"/>
              </w:rPr>
              <w:t>Validate IP/domain reputation enrichment against known indicators.</w:t>
            </w:r>
          </w:p>
        </w:tc>
      </w:tr>
      <w:tr>
        <w:tc>
          <w:tcPr>
            <w:tcW w:type="dxa" w:w="2592"/>
            <w:shd w:val="clear" w:color="auto" w:fill="EEF0F6"/>
          </w:tcPr>
          <w:p>
            <w:pPr>
              <w:spacing w:after="0" w:line="264" w:lineRule="auto"/>
            </w:pPr>
            <w:r>
              <w:rPr>
                <w:rFonts w:ascii="Space Grotesk" w:hAnsi="Space Grotesk" w:cs="Space Grotesk" w:eastAsia="Space Grotesk"/>
                <w:b/>
                <w:i w:val="0"/>
                <w:sz w:val="19"/>
              </w:rPr>
              <w:t>Dashboards</w:t>
            </w:r>
          </w:p>
        </w:tc>
        <w:tc>
          <w:tcPr>
            <w:tcW w:type="dxa" w:w="6768"/>
            <w:shd w:val="clear" w:color="auto" w:fill="EEF0F6"/>
          </w:tcPr>
          <w:p>
            <w:pPr>
              <w:spacing w:after="0" w:line="264" w:lineRule="auto"/>
            </w:pPr>
            <w:r>
              <w:rPr>
                <w:rFonts w:ascii="Space Grotesk" w:hAnsi="Space Grotesk" w:cs="Space Grotesk" w:eastAsia="Space Grotesk"/>
                <w:b w:val="0"/>
                <w:i w:val="0"/>
                <w:sz w:val="19"/>
              </w:rPr>
              <w:t>Build and validate a sample custom dashboard and saved search.</w:t>
            </w:r>
          </w:p>
        </w:tc>
      </w:tr>
      <w:tr>
        <w:tc>
          <w:tcPr>
            <w:tcW w:type="dxa" w:w="2592"/>
          </w:tcPr>
          <w:p>
            <w:pPr>
              <w:spacing w:after="0" w:line="264" w:lineRule="auto"/>
            </w:pPr>
            <w:r>
              <w:rPr>
                <w:rFonts w:ascii="Space Grotesk" w:hAnsi="Space Grotesk" w:cs="Space Grotesk" w:eastAsia="Space Grotesk"/>
                <w:b/>
                <w:i w:val="0"/>
                <w:sz w:val="19"/>
              </w:rPr>
              <w:t>Alerting</w:t>
            </w:r>
          </w:p>
        </w:tc>
        <w:tc>
          <w:tcPr>
            <w:tcW w:type="dxa" w:w="6768"/>
          </w:tcPr>
          <w:p>
            <w:pPr>
              <w:spacing w:after="0" w:line="264" w:lineRule="auto"/>
            </w:pPr>
            <w:r>
              <w:rPr>
                <w:rFonts w:ascii="Space Grotesk" w:hAnsi="Space Grotesk" w:cs="Space Grotesk" w:eastAsia="Space Grotesk"/>
                <w:b w:val="0"/>
                <w:i w:val="0"/>
                <w:sz w:val="19"/>
              </w:rPr>
              <w:t>Validate notification delivery to Slack, email, and/or Jira.</w:t>
            </w:r>
          </w:p>
        </w:tc>
      </w:tr>
      <w:tr>
        <w:tc>
          <w:tcPr>
            <w:tcW w:type="dxa" w:w="2592"/>
            <w:shd w:val="clear" w:color="auto" w:fill="EEF0F6"/>
          </w:tcPr>
          <w:p>
            <w:pPr>
              <w:spacing w:after="0" w:line="264" w:lineRule="auto"/>
            </w:pPr>
            <w:r>
              <w:rPr>
                <w:rFonts w:ascii="Space Grotesk" w:hAnsi="Space Grotesk" w:cs="Space Grotesk" w:eastAsia="Space Grotesk"/>
                <w:b/>
                <w:i w:val="0"/>
                <w:sz w:val="19"/>
              </w:rPr>
              <w:t>Retention &amp; Search</w:t>
            </w:r>
          </w:p>
        </w:tc>
        <w:tc>
          <w:tcPr>
            <w:tcW w:type="dxa" w:w="6768"/>
            <w:shd w:val="clear" w:color="auto" w:fill="EEF0F6"/>
          </w:tcPr>
          <w:p>
            <w:pPr>
              <w:spacing w:after="0" w:line="264" w:lineRule="auto"/>
            </w:pPr>
            <w:r>
              <w:rPr>
                <w:rFonts w:ascii="Space Grotesk" w:hAnsi="Space Grotesk" w:cs="Space Grotesk" w:eastAsia="Space Grotesk"/>
                <w:b w:val="0"/>
                <w:i w:val="0"/>
                <w:sz w:val="19"/>
              </w:rPr>
              <w:t>Confirm 1-year retention configuration, 6-month searchable window, and audit log export in JSON/CSV.</w:t>
            </w:r>
          </w:p>
        </w:tc>
      </w:tr>
      <w:tr>
        <w:tc>
          <w:tcPr>
            <w:tcW w:type="dxa" w:w="2592"/>
          </w:tcPr>
          <w:p>
            <w:pPr>
              <w:spacing w:after="0" w:line="264" w:lineRule="auto"/>
            </w:pPr>
            <w:r>
              <w:rPr>
                <w:rFonts w:ascii="Space Grotesk" w:hAnsi="Space Grotesk" w:cs="Space Grotesk" w:eastAsia="Space Grotesk"/>
                <w:b/>
                <w:i w:val="0"/>
                <w:sz w:val="19"/>
              </w:rPr>
              <w:t>RBAC &amp; Multi-tenancy</w:t>
            </w:r>
          </w:p>
        </w:tc>
        <w:tc>
          <w:tcPr>
            <w:tcW w:type="dxa" w:w="6768"/>
          </w:tcPr>
          <w:p>
            <w:pPr>
              <w:spacing w:after="0" w:line="264" w:lineRule="auto"/>
            </w:pPr>
            <w:r>
              <w:rPr>
                <w:rFonts w:ascii="Space Grotesk" w:hAnsi="Space Grotesk" w:cs="Space Grotesk" w:eastAsia="Space Grotesk"/>
                <w:b w:val="0"/>
                <w:i w:val="0"/>
                <w:sz w:val="19"/>
              </w:rPr>
              <w:t>Validate tenant isolation and role-based access for the organization's teams.</w:t>
            </w:r>
          </w:p>
        </w:tc>
      </w:tr>
    </w:tbl>
    <w:p>
      <w:pPr>
        <w:spacing w:after="120" w:before="0" w:line="276" w:lineRule="auto"/>
      </w:pPr>
    </w:p>
    <w:p>
      <w:pPr>
        <w:pStyle w:val="Heading2"/>
        <w:keepNext/>
        <w:pageBreakBefore/>
        <w:spacing w:before="0" w:after="100"/>
        <w:jc w:val="left"/>
      </w:pPr>
      <w:r>
        <w:rPr>
          <w:rFonts w:ascii="Space Grotesk" w:hAnsi="Space Grotesk" w:cs="Space Grotesk" w:eastAsia="Space Grotesk"/>
          <w:b/>
          <w:i w:val="0"/>
          <w:sz w:val="27"/>
        </w:rPr>
        <w:t>Timeline</w:t>
      </w:r>
    </w:p>
    <w:tbl>
      <w:tblPr>
        <w:tblW w:type="auto" w:w="0"/>
        <w:jc w:val="center"/>
        <w:tblLayout w:type="fixed"/>
        <w:tblLook w:firstColumn="1" w:firstRow="1" w:lastColumn="0" w:lastRow="0" w:noHBand="0" w:noVBand="1" w:val="04A0"/>
        <w:tblBorders>
          <w:top w:val="single" w:sz="6" w:space="0" w:color="C4CCDE"/>
          <w:left w:val="single" w:sz="6" w:space="0" w:color="C4CCDE"/>
          <w:bottom w:val="single" w:sz="6" w:space="0" w:color="C4CCDE"/>
          <w:right w:val="single" w:sz="6" w:space="0" w:color="C4CCDE"/>
          <w:insideH w:val="single" w:sz="6" w:space="0" w:color="C4CCDE"/>
          <w:insideV w:val="single" w:sz="6" w:space="0" w:color="C4CCDE"/>
        </w:tblBorders>
        <w:tblCellMar>
          <w:top w:w="80" w:type="dxa"/>
          <w:left w:w="110" w:type="dxa"/>
          <w:bottom w:w="80" w:type="dxa"/>
          <w:right w:w="110" w:type="dxa"/>
        </w:tblCellMar>
      </w:tblPr>
      <w:tblGrid>
        <w:gridCol w:w="3120"/>
        <w:gridCol w:w="3120"/>
        <w:gridCol w:w="3120"/>
      </w:tblGrid>
      <w:tr>
        <w:trPr>
          <w:tblHeader w:val="true"/>
        </w:trPr>
        <w:tc>
          <w:tcPr>
            <w:tcW w:type="dxa" w:w="1296"/>
            <w:shd w:val="clear" w:color="auto" w:fill="11206D"/>
          </w:tcPr>
          <w:p>
            <w:pPr>
              <w:spacing w:after="0"/>
            </w:pPr>
            <w:r>
              <w:rPr>
                <w:rFonts w:ascii="Space Grotesk" w:hAnsi="Space Grotesk" w:cs="Space Grotesk" w:eastAsia="Space Grotesk"/>
                <w:b/>
                <w:i w:val="0"/>
                <w:color w:val="FFFFFF"/>
                <w:sz w:val="20"/>
              </w:rPr>
              <w:t>Phase</w:t>
            </w:r>
          </w:p>
        </w:tc>
        <w:tc>
          <w:tcPr>
            <w:tcW w:type="dxa" w:w="6192"/>
            <w:shd w:val="clear" w:color="auto" w:fill="11206D"/>
          </w:tcPr>
          <w:p>
            <w:pPr>
              <w:spacing w:after="0"/>
            </w:pPr>
            <w:r>
              <w:rPr>
                <w:rFonts w:ascii="Space Grotesk" w:hAnsi="Space Grotesk" w:cs="Space Grotesk" w:eastAsia="Space Grotesk"/>
                <w:b/>
                <w:i w:val="0"/>
                <w:color w:val="FFFFFF"/>
                <w:sz w:val="20"/>
              </w:rPr>
              <w:t>Activities</w:t>
            </w:r>
          </w:p>
        </w:tc>
        <w:tc>
          <w:tcPr>
            <w:tcW w:type="dxa" w:w="1872"/>
            <w:shd w:val="clear" w:color="auto" w:fill="11206D"/>
          </w:tcPr>
          <w:p>
            <w:pPr>
              <w:spacing w:after="0"/>
            </w:pPr>
            <w:r>
              <w:rPr>
                <w:rFonts w:ascii="Space Grotesk" w:hAnsi="Space Grotesk" w:cs="Space Grotesk" w:eastAsia="Space Grotesk"/>
                <w:b/>
                <w:i w:val="0"/>
                <w:color w:val="FFFFFF"/>
                <w:sz w:val="20"/>
              </w:rPr>
              <w:t>Duration</w:t>
            </w:r>
          </w:p>
        </w:tc>
      </w:tr>
      <w:tr>
        <w:tc>
          <w:tcPr>
            <w:tcW w:type="dxa" w:w="1296"/>
          </w:tcPr>
          <w:p>
            <w:pPr>
              <w:spacing w:after="0" w:line="264" w:lineRule="auto"/>
            </w:pPr>
            <w:r>
              <w:rPr>
                <w:rFonts w:ascii="Space Grotesk" w:hAnsi="Space Grotesk" w:cs="Space Grotesk" w:eastAsia="Space Grotesk"/>
                <w:b/>
                <w:i w:val="0"/>
                <w:sz w:val="19"/>
              </w:rPr>
              <w:t>Phase 1</w:t>
            </w:r>
          </w:p>
        </w:tc>
        <w:tc>
          <w:tcPr>
            <w:tcW w:type="dxa" w:w="6192"/>
          </w:tcPr>
          <w:p>
            <w:pPr>
              <w:spacing w:after="0" w:line="264" w:lineRule="auto"/>
            </w:pPr>
            <w:r>
              <w:rPr>
                <w:rFonts w:ascii="Space Grotesk" w:hAnsi="Space Grotesk" w:cs="Space Grotesk" w:eastAsia="Space Grotesk"/>
                <w:b w:val="0"/>
                <w:i w:val="0"/>
                <w:sz w:val="19"/>
              </w:rPr>
              <w:t>Log source onboarding across AWS, GCP, OCI, and SaaS/API sources, plus Syslog VM setup for Meraki and Palo Alto.</w:t>
            </w:r>
          </w:p>
        </w:tc>
        <w:tc>
          <w:tcPr>
            <w:tcW w:type="dxa" w:w="1872"/>
          </w:tcPr>
          <w:p>
            <w:pPr>
              <w:spacing w:after="0" w:line="264" w:lineRule="auto"/>
            </w:pPr>
            <w:r>
              <w:rPr>
                <w:rFonts w:ascii="Space Grotesk" w:hAnsi="Space Grotesk" w:cs="Space Grotesk" w:eastAsia="Space Grotesk"/>
                <w:b w:val="0"/>
                <w:i w:val="0"/>
                <w:sz w:val="19"/>
              </w:rPr>
              <w:t>2 business days</w:t>
            </w:r>
          </w:p>
        </w:tc>
      </w:tr>
      <w:tr>
        <w:tc>
          <w:tcPr>
            <w:tcW w:type="dxa" w:w="1296"/>
            <w:shd w:val="clear" w:color="auto" w:fill="EEF0F6"/>
          </w:tcPr>
          <w:p>
            <w:pPr>
              <w:spacing w:after="0" w:line="264" w:lineRule="auto"/>
            </w:pPr>
            <w:r>
              <w:rPr>
                <w:rFonts w:ascii="Space Grotesk" w:hAnsi="Space Grotesk" w:cs="Space Grotesk" w:eastAsia="Space Grotesk"/>
                <w:b/>
                <w:i w:val="0"/>
                <w:sz w:val="19"/>
              </w:rPr>
              <w:t>Phase 2</w:t>
            </w:r>
          </w:p>
        </w:tc>
        <w:tc>
          <w:tcPr>
            <w:tcW w:type="dxa" w:w="6192"/>
            <w:shd w:val="clear" w:color="auto" w:fill="EEF0F6"/>
          </w:tcPr>
          <w:p>
            <w:pPr>
              <w:spacing w:after="0" w:line="264" w:lineRule="auto"/>
            </w:pPr>
            <w:r>
              <w:rPr>
                <w:rFonts w:ascii="Space Grotesk" w:hAnsi="Space Grotesk" w:cs="Space Grotesk" w:eastAsia="Space Grotesk"/>
                <w:b w:val="0"/>
                <w:i w:val="0"/>
                <w:sz w:val="19"/>
              </w:rPr>
              <w:t>Threat detection and threat-intelligence validation across onboarded sources.</w:t>
            </w:r>
          </w:p>
        </w:tc>
        <w:tc>
          <w:tcPr>
            <w:tcW w:type="dxa" w:w="1872"/>
            <w:shd w:val="clear" w:color="auto" w:fill="EEF0F6"/>
          </w:tcPr>
          <w:p>
            <w:pPr>
              <w:spacing w:after="0" w:line="264" w:lineRule="auto"/>
            </w:pPr>
            <w:r>
              <w:rPr>
                <w:rFonts w:ascii="Space Grotesk" w:hAnsi="Space Grotesk" w:cs="Space Grotesk" w:eastAsia="Space Grotesk"/>
                <w:b w:val="0"/>
                <w:i w:val="0"/>
                <w:sz w:val="19"/>
              </w:rPr>
              <w:t>1 business day</w:t>
            </w:r>
          </w:p>
        </w:tc>
      </w:tr>
      <w:tr>
        <w:tc>
          <w:tcPr>
            <w:tcW w:type="dxa" w:w="1296"/>
          </w:tcPr>
          <w:p>
            <w:pPr>
              <w:spacing w:after="0" w:line="264" w:lineRule="auto"/>
            </w:pPr>
            <w:r>
              <w:rPr>
                <w:rFonts w:ascii="Space Grotesk" w:hAnsi="Space Grotesk" w:cs="Space Grotesk" w:eastAsia="Space Grotesk"/>
                <w:b/>
                <w:i w:val="0"/>
                <w:sz w:val="19"/>
              </w:rPr>
              <w:t>Phase 3</w:t>
            </w:r>
          </w:p>
        </w:tc>
        <w:tc>
          <w:tcPr>
            <w:tcW w:type="dxa" w:w="6192"/>
          </w:tcPr>
          <w:p>
            <w:pPr>
              <w:spacing w:after="0" w:line="264" w:lineRule="auto"/>
            </w:pPr>
            <w:r>
              <w:rPr>
                <w:rFonts w:ascii="Space Grotesk" w:hAnsi="Space Grotesk" w:cs="Space Grotesk" w:eastAsia="Space Grotesk"/>
                <w:b w:val="0"/>
                <w:i w:val="0"/>
                <w:sz w:val="19"/>
              </w:rPr>
              <w:t>Dashboards, alerting, and audit log export validation.</w:t>
            </w:r>
          </w:p>
        </w:tc>
        <w:tc>
          <w:tcPr>
            <w:tcW w:type="dxa" w:w="1872"/>
          </w:tcPr>
          <w:p>
            <w:pPr>
              <w:spacing w:after="0" w:line="264" w:lineRule="auto"/>
            </w:pPr>
            <w:r>
              <w:rPr>
                <w:rFonts w:ascii="Space Grotesk" w:hAnsi="Space Grotesk" w:cs="Space Grotesk" w:eastAsia="Space Grotesk"/>
                <w:b w:val="0"/>
                <w:i w:val="0"/>
                <w:sz w:val="19"/>
              </w:rPr>
              <w:t>1 business day</w:t>
            </w:r>
          </w:p>
        </w:tc>
      </w:tr>
      <w:tr>
        <w:tc>
          <w:tcPr>
            <w:tcW w:type="dxa" w:w="1296"/>
            <w:shd w:val="clear" w:color="auto" w:fill="EEF0F6"/>
          </w:tcPr>
          <w:p>
            <w:pPr>
              <w:spacing w:after="0" w:line="264" w:lineRule="auto"/>
            </w:pPr>
            <w:r>
              <w:rPr>
                <w:rFonts w:ascii="Space Grotesk" w:hAnsi="Space Grotesk" w:cs="Space Grotesk" w:eastAsia="Space Grotesk"/>
                <w:b/>
                <w:i w:val="0"/>
                <w:sz w:val="19"/>
              </w:rPr>
              <w:t>Wrap-up</w:t>
            </w:r>
          </w:p>
        </w:tc>
        <w:tc>
          <w:tcPr>
            <w:tcW w:type="dxa" w:w="6192"/>
            <w:shd w:val="clear" w:color="auto" w:fill="EEF0F6"/>
          </w:tcPr>
          <w:p>
            <w:pPr>
              <w:spacing w:after="0" w:line="264" w:lineRule="auto"/>
            </w:pPr>
            <w:r>
              <w:rPr>
                <w:rFonts w:ascii="Space Grotesk" w:hAnsi="Space Grotesk" w:cs="Space Grotesk" w:eastAsia="Space Grotesk"/>
                <w:b w:val="0"/>
                <w:i w:val="0"/>
                <w:sz w:val="19"/>
              </w:rPr>
              <w:t>End-to-end validation, fine-tuning, knowledge transfer, and next-steps planning.</w:t>
            </w:r>
          </w:p>
        </w:tc>
        <w:tc>
          <w:tcPr>
            <w:tcW w:type="dxa" w:w="1872"/>
            <w:shd w:val="clear" w:color="auto" w:fill="EEF0F6"/>
          </w:tcPr>
          <w:p>
            <w:pPr>
              <w:spacing w:after="0" w:line="264" w:lineRule="auto"/>
            </w:pPr>
            <w:r>
              <w:rPr>
                <w:rFonts w:ascii="Space Grotesk" w:hAnsi="Space Grotesk" w:cs="Space Grotesk" w:eastAsia="Space Grotesk"/>
                <w:b w:val="0"/>
                <w:i w:val="0"/>
                <w:sz w:val="19"/>
              </w:rPr>
              <w:t>1 business day</w:t>
            </w:r>
          </w:p>
        </w:tc>
      </w:tr>
    </w:tbl>
    <w:p>
      <w:pPr>
        <w:spacing w:after="120" w:before="0" w:line="276" w:lineRule="auto"/>
      </w:pPr>
    </w:p>
    <w:p>
      <w:pPr>
        <w:pStyle w:val="Heading1"/>
        <w:keepNext/>
        <w:pageBreakBefore/>
        <w:spacing w:before="0" w:after="160"/>
        <w:jc w:val="left"/>
      </w:pPr>
      <w:r>
        <w:rPr>
          <w:rFonts w:ascii="Space Grotesk" w:hAnsi="Space Grotesk" w:cs="Space Grotesk" w:eastAsia="Space Grotesk"/>
          <w:b/>
          <w:i w:val="0"/>
          <w:sz w:val="36"/>
        </w:rPr>
        <w:t>Appendix D: Syslog Integration Approach for Firewalls</w:t>
      </w:r>
    </w:p>
    <w:p>
      <w:pPr>
        <w:spacing w:after="120" w:before="0" w:line="276" w:lineRule="auto"/>
      </w:pPr>
      <w:r>
        <w:rPr>
          <w:rFonts w:ascii="Space Grotesk" w:hAnsi="Space Grotesk" w:cs="Space Grotesk" w:eastAsia="Space Grotesk"/>
          <w:b w:val="0"/>
          <w:i w:val="0"/>
          <w:sz w:val="21"/>
        </w:rPr>
        <w:t>AccuKnox SIEM does not parse the Syslog protocol directly. For the organization's Palo Alto Firewall and Cisco Meraki sources, both of which emit Syslog, AccuKnox uses a lightweight middleware VM to convert Syslog to JSON before ingestion.</w:t>
      </w:r>
    </w:p>
    <w:p>
      <w:pPr>
        <w:pStyle w:val="Heading2"/>
        <w:keepNext/>
        <w:spacing w:before="260" w:after="100"/>
        <w:jc w:val="left"/>
      </w:pPr>
      <w:r>
        <w:rPr>
          <w:rFonts w:ascii="Space Grotesk" w:hAnsi="Space Grotesk" w:cs="Space Grotesk" w:eastAsia="Space Grotesk"/>
          <w:b/>
          <w:i w:val="0"/>
          <w:sz w:val="27"/>
        </w:rPr>
        <w:t>Approach</w:t>
      </w:r>
    </w:p>
    <w:p>
      <w:pPr>
        <w:spacing w:after="200" w:before="160" w:line="276" w:lineRule="auto"/>
        <w:jc w:val="center"/>
        <w:shd w:val="clear" w:color="auto" w:fill="EEF0F6"/>
      </w:pPr>
      <w:r>
        <w:rPr>
          <w:rFonts w:ascii="Space Grotesk" w:hAnsi="Space Grotesk" w:cs="Space Grotesk" w:eastAsia="Space Grotesk"/>
          <w:b/>
          <w:i w:val="0"/>
          <w:color w:val="0046FF"/>
          <w:sz w:val="21"/>
        </w:rPr>
        <w:t>Source device (Syslog)  →  Syslog VM (Rsyslog + JSON conversion script)  →  AccuKnox SIEM (JSON ingestion via Bulk API)</w:t>
      </w:r>
    </w:p>
    <w:p>
      <w:pPr>
        <w:pStyle w:val="Heading2"/>
        <w:keepNext/>
        <w:spacing w:before="260" w:after="100"/>
        <w:jc w:val="left"/>
      </w:pPr>
      <w:r>
        <w:rPr>
          <w:rFonts w:ascii="Space Grotesk" w:hAnsi="Space Grotesk" w:cs="Space Grotesk" w:eastAsia="Space Grotesk"/>
          <w:b/>
          <w:i w:val="0"/>
          <w:sz w:val="27"/>
        </w:rPr>
        <w:t>Step by step</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1. Source configuration: </w:t>
      </w:r>
      <w:r>
        <w:rPr>
          <w:rFonts w:ascii="Space Grotesk" w:hAnsi="Space Grotesk" w:cs="Space Grotesk" w:eastAsia="Space Grotesk"/>
          <w:b w:val="0"/>
          <w:i w:val="0"/>
          <w:sz w:val="21"/>
        </w:rPr>
        <w:t>point the Palo Alto Firewall and Cisco Meraki dashboard to forward Syslog to the Syslog VM's IP and port (default UDP/TCP 514).</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2. Syslog VM setup: </w:t>
      </w:r>
      <w:r>
        <w:rPr>
          <w:rFonts w:ascii="Space Grotesk" w:hAnsi="Space Grotesk" w:cs="Space Grotesk" w:eastAsia="Space Grotesk"/>
          <w:b w:val="0"/>
          <w:i w:val="0"/>
          <w:sz w:val="21"/>
        </w:rPr>
        <w:t>deploy an Ubuntu VM in the same network segment or VPC as the source devices, and install Rsyslog to receive messages from both sources.</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3. JSON conversion: </w:t>
      </w:r>
      <w:r>
        <w:rPr>
          <w:rFonts w:ascii="Space Grotesk" w:hAnsi="Space Grotesk" w:cs="Space Grotesk" w:eastAsia="Space Grotesk"/>
          <w:b w:val="0"/>
          <w:i w:val="0"/>
          <w:sz w:val="21"/>
        </w:rPr>
        <w:t>a script on the Syslog VM parses each incoming line and converts it to a JSON object (source IP, timestamp, event type, message body, device name).</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4. Forward to AccuKnox SIEM: </w:t>
      </w:r>
      <w:r>
        <w:rPr>
          <w:rFonts w:ascii="Space Grotesk" w:hAnsi="Space Grotesk" w:cs="Space Grotesk" w:eastAsia="Space Grotesk"/>
          <w:b w:val="0"/>
          <w:i w:val="0"/>
          <w:sz w:val="21"/>
        </w:rPr>
        <w:t>the JSON payload is sent to AccuKnox SIEM's ingestion endpoint via Bulk API or LogStash HTTP output.</w:t>
      </w:r>
    </w:p>
    <w:p>
      <w:pPr>
        <w:tabs>
          <w:tab w:pos="403" w:val="left"/>
        </w:tabs>
        <w:spacing w:after="80" w:line="276" w:lineRule="auto"/>
        <w:ind w:left="403" w:hanging="403"/>
      </w:pPr>
      <w:r>
        <w:rPr>
          <w:rFonts w:ascii="Space Grotesk" w:hAnsi="Space Grotesk" w:cs="Space Grotesk" w:eastAsia="Space Grotesk"/>
          <w:b w:val="0"/>
          <w:i w:val="0"/>
          <w:sz w:val="21"/>
        </w:rPr>
        <w:t>•</w:t>
        <w:tab/>
      </w:r>
      <w:r>
        <w:rPr>
          <w:rFonts w:ascii="Space Grotesk" w:hAnsi="Space Grotesk" w:cs="Space Grotesk" w:eastAsia="Space Grotesk"/>
          <w:b/>
          <w:i w:val="0"/>
          <w:sz w:val="21"/>
        </w:rPr>
        <w:t xml:space="preserve">5. Indexing &amp; detection: </w:t>
      </w:r>
      <w:r>
        <w:rPr>
          <w:rFonts w:ascii="Space Grotesk" w:hAnsi="Space Grotesk" w:cs="Space Grotesk" w:eastAsia="Space Grotesk"/>
          <w:b w:val="0"/>
          <w:i w:val="0"/>
          <w:sz w:val="21"/>
        </w:rPr>
        <w:t>AccuKnox SIEM indexes events under the organization's tenant namespace and applies detection rules: port-scan and policy-violation detectors for Palo Alto, client-association and unauthorized-SSID detectors for Meraki.</w:t>
      </w:r>
    </w:p>
    <w:p>
      <w:pPr>
        <w:spacing w:after="120" w:before="160" w:line="276" w:lineRule="auto"/>
      </w:pPr>
      <w:r>
        <w:rPr>
          <w:rFonts w:ascii="Space Grotesk" w:hAnsi="Space Grotesk" w:cs="Space Grotesk" w:eastAsia="Space Grotesk"/>
          <w:b w:val="0"/>
          <w:i/>
          <w:color w:val="5A6478"/>
          <w:sz w:val="19"/>
        </w:rPr>
        <w:t>The Syslog VM is a small piece of onboarding infrastructure that lives in the organization's environment. AccuKnox does not require inbound access to the organization's network to operate it.</w:t>
      </w:r>
    </w:p>
    <w:sectPr>
      <w:headerReference r:id="rId6" w:type="default"/>
      <w:footerReference r:id="rId7" w:type="default"/>
      <w:headerReference w:type="first" r:id="rId8"/>
      <w:pgSz w:h="15840" w:w="12240"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pace Grotesk SemiBold">
    <w:embedRegular w:fontKey="{00000000-0000-0000-0000-000000000000}" r:id="rId1" w:subsetted="0"/>
    <w:embedBold w:fontKey="{00000000-0000-0000-0000-000000000000}" r:id="rId2" w:subsetted="0"/>
  </w:font>
  <w:font w:name="Space Grotesk">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center"/>
      <w:rPr/>
    </w:pPr>
    <w:r w:rsidDel="00000000" w:rsidR="00000000" w:rsidRPr="00000000">
      <w:rPr>
        <w:rFonts w:ascii="Space Grotesk" w:hAnsi="Space Grotesk" w:cs="Space Grotesk" w:eastAsia="Space Grotesk"/>
        <w:b w:val="0"/>
        <w:i w:val="0"/>
        <w:color w:val="5A6478"/>
        <w:sz w:val="18"/>
      </w:rPr>
      <w:fldChar w:fldCharType="begin"/>
      <w:instrText xml:space="preserve">PAGE</w:instrText>
      <w:fldChar w:fldCharType="separate"/>
      <w:fldChar w:fldCharType="end"/>
    </w:r>
    <w:r w:rsidDel="00000000" w:rsidR="00000000" w:rsidRPr="00000000">
      <w:rPr>
        <w:rFonts w:ascii="Space Grotesk" w:hAnsi="Space Grotesk" w:cs="Space Grotesk" w:eastAsia="Space Grotesk"/>
        <w:b w:val="0"/>
        <w:i w:val="0"/>
        <w:color w:val="5A6478"/>
        <w:sz w:val="18"/>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sz w:val="24"/>
        <w:szCs w:val="24"/>
      </w:rPr>
    </w:pPr>
    <w:r w:rsidDel="00000000" w:rsidR="00000000" w:rsidRPr="00000000">
      <w:rPr>
        <w:rFonts w:ascii="Space Grotesk" w:hAnsi="Space Grotesk" w:cs="Space Grotesk" w:eastAsia="Space Grotesk"/>
        <w:b/>
        <w:i w:val="0"/>
        <w:color w:val="11206D"/>
        <w:sz w:val="20"/>
        <w:szCs w:val="24"/>
        <w:rtl w:val="0"/>
      </w:rPr>
      <w:t>AccuKnox SIEM Proposal</w:t>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-152399</wp:posOffset>
          </wp:positionV>
          <wp:extent cx="1957388" cy="4621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7388" cy="462161"/>
                  </a:xfrm>
                  <a:prstGeom prst="rect"/>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18"/>
        <w:szCs w:val="18"/>
        <w:lang w:val="en"/>
      </w:rPr>
    </w:rPrDefault>
    <w:pPrDefault>
      <w:pPr>
        <w:widowControl w:val="0"/>
        <w:spacing w:before="11" w:lineRule="auto"/>
        <w:ind w:right="8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right="0"/>
      <w:jc w:val="center"/>
    </w:pPr>
    <w:rPr>
      <w:b w:val="1"/>
      <w:bCs w:val="1"/>
      <w:color w:val="0000ff"/>
      <w:sz w:val="48"/>
      <w:szCs w:val="48"/>
    </w:rPr>
  </w:style>
  <w:style w:type="paragraph" w:styleId="Heading2">
    <w:name w:val="heading 2"/>
    <w:basedOn w:val="Normal"/>
    <w:next w:val="Normal"/>
    <w:pPr>
      <w:keepNext w:val="1"/>
      <w:keepLines w:val="1"/>
      <w:spacing w:after="200" w:before="0" w:lineRule="auto"/>
      <w:ind w:right="0"/>
    </w:pPr>
    <w:rPr>
      <w:b w:val="1"/>
      <w:bCs w:val="1"/>
      <w:color w:val="003bf6"/>
      <w:sz w:val="36"/>
      <w:szCs w:val="36"/>
    </w:rPr>
  </w:style>
  <w:style w:type="paragraph" w:styleId="Heading3">
    <w:name w:val="heading 3"/>
    <w:basedOn w:val="Normal"/>
    <w:next w:val="Normal"/>
    <w:pPr>
      <w:keepNext w:val="1"/>
      <w:keepLines w:val="1"/>
      <w:spacing w:after="200" w:before="0" w:lineRule="auto"/>
      <w:ind w:right="0"/>
    </w:pPr>
    <w:rPr>
      <w:b w:val="1"/>
      <w:bCs w:val="1"/>
      <w:color w:val="003bf6"/>
      <w:sz w:val="28"/>
      <w:szCs w:val="28"/>
    </w:rPr>
  </w:style>
  <w:style w:type="paragraph" w:styleId="Heading4">
    <w:name w:val="heading 4"/>
    <w:basedOn w:val="Normal"/>
    <w:next w:val="Normal"/>
    <w:pPr>
      <w:keepNext w:val="1"/>
      <w:keepLines w:val="1"/>
      <w:spacing w:after="200" w:before="0" w:lineRule="auto"/>
      <w:ind w:right="0"/>
    </w:pPr>
    <w:rPr>
      <w:rFonts w:ascii="Space Grotesk SemiBold" w:cs="Space Grotesk SemiBold" w:eastAsia="Space Grotesk SemiBold" w:hAnsi="Space Grotesk SemiBold"/>
      <w:color w:val="003bf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SpaceGroteskSemiBold-regular.ttf"/><Relationship Id="rId2" Type="http://schemas.openxmlformats.org/officeDocument/2006/relationships/font" Target="fonts/SpaceGroteskSemiBold-bold.ttf"/><Relationship Id="rId3" Type="http://schemas.openxmlformats.org/officeDocument/2006/relationships/font" Target="fonts/SpaceGrotesk-regular.ttf"/><Relationship Id="rId4" Type="http://schemas.openxmlformats.org/officeDocument/2006/relationships/font" Target="fonts/SpaceGrotes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