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SBOM One-Pager, Global / Japan Variant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Designer change brief · Before vs. After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Source file: SBOM-1-Pager.pdf (current India BFSI version, single tall page).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Goal: a global variant that doesn’t read as India-market collateral and is easy for a non-technical executive to read in one pass. Keep the same layout system, brand colors, and card structure. Only the changes listed below apply.</w:t>
      </w:r>
    </w:p>
    <w:p>
      <w:pPr>
        <w:pStyle w:val="Heading2"/>
      </w:pPr>
      <w:r>
        <w:t xml:space="preserve">Why this variant exists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current one-pager was built to market to Indian banks around CERT-In, RBI, and SEBI mandates. That framing doesn’t transfer to global or Japanese buyers, who look to US benchmarks for cybersecurity leadership. This brief removes the India-specific framing, cuts unexplained acronyms, and keeps the product content that works everywhere.</w:t>
      </w:r>
    </w:p>
    <w:p>
      <w:pPr>
        <w:pStyle w:val="Heading2"/>
      </w:pPr>
      <w:r>
        <w:t xml:space="preserve">Brand to carry over (no changes here)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Colors: Navy #11206D, accent blue (bright blue used on headings/numerals in the source PDF).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Fonts: Space Grotesk for headings/labels, Inter for body.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Layout system, card shapes, and spacing: unchanged.</w:t>
      </w:r>
    </w:p>
    <w:p>
      <w:pPr>
        <w:pStyle w:val="Heading2"/>
      </w:pPr>
      <w:r>
        <w:t xml:space="preserve">How to read the table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row is one section of the page, top to bottom. Red = what’s there now. Green = what it should become. Right column explains why.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Section-by-Section Changes</w:t>
      </w:r>
    </w:p>
    <w:tbl>
      <w:tblPr>
        <w:tblW w:type="dxa" w:w="141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4100"/>
        <w:gridCol w:w="4012"/>
      </w:tblGrid>
      <w:tr>
        <w:trPr>
          <w:tblHeader/>
        </w:trP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120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120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(current, India version)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120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(proposed, global version)</w:t>
            </w:r>
          </w:p>
        </w:tc>
        <w:tc>
          <w:tcPr>
            <w:tcW w:type="dxa" w:w="40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1206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1. Hero title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“AccuKnox Software Bill of Materials (SBOM)”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change.</w:t>
            </w:r>
          </w:p>
        </w:tc>
        <w:tc>
          <w:tcPr>
            <w:tcW w:type="dxa" w:w="40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name, not India-specific.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2. “Now Mandated By” regulator badge strip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Headline: “Complete X-BOM for Indian BFSI.”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Body: “RBI, SEBI, and CERT-In have made Bill of Materials practices mandatory across banks, NBFCs, mutual funds, and all regulated financial entities.”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badge tiles with logos: CERT-In v2.0, SEBI CSCRF, RBI Circular, IRDAI Guidelines.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Headline: “Complete X-BOM for Regulated Enterprises” (placeholder, confirm with marketing).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Body: “SBOM and software supply chain transparency are increasingly required by regulators and enterprise procurement worldwide. AccuKnox generates SBOM, CBOM, QBOM, HBOM, and AIBOM from a single Zero Trust CNAPP, no separate tooling required.”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all 4 regulator badge images and captions.</w:t>
            </w:r>
          </w:p>
        </w:tc>
        <w:tc>
          <w:tcPr>
            <w:tcW w:type="dxa" w:w="40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element here is India-regulation-specific.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Acronyms CERT-In, SEBI, CSCRF, NBFC, IRDAI are unfamiliar to a global or Japanese executive.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3. “Five BOM Types · One Platform” cards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cards: SBOM, CBOM, QBOM, HBOM, AIBOM, each acronym with a plain-English label underneath (SOFTWARE, CRYPTOGRAPHIC, QUANTUM, HARDWARE, AI/ML).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change.</w:t>
            </w:r>
          </w:p>
        </w:tc>
        <w:tc>
          <w:tcPr>
            <w:tcW w:type="dxa" w:w="40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Already generic and already spells out each acronym. This is the pattern to copy elsewhere on the page.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4. Stats row (the row in the screenshot)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“20+ Languages / 50+ Package Managers / N-level Transitive Dependencies / CycloneDX + SPDX 3.0.1 Output Formats”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 this row entirely.</w:t>
            </w:r>
          </w:p>
        </w:tc>
        <w:tc>
          <w:tcPr>
            <w:tcW w:type="dxa" w:w="40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Dense with acronyms and standard names (CycloneDX, SPDX 3.0.1, “N-level transitive”) that don’t land on a first read for an executive. Flagged directly by stakeholder.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5. “Cert-in v2.0 Compliance” section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Title: “Cert-in v2.0 Compliance.” Subhead: “Technical Guidelines on SBOM · CBOM · QBOM · AIBOM · HBOM.”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Body: names “government bodies, essential services, software exporters, and the financial sector” and “VEX disclosures.”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8-item checklist: package vulnerability scanning; VEX and CSAF disclosures; audit-ready reports; license compliance; managed &amp; unmanaged AI asset inventory; cryptographic asset inventory; BOM version diff; CycloneDX + SPDX 3.0.1 output.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Rename section to “Compliance-Ready Coverage” (or similar neutral title).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the India-regulation body paragraph.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the 8-item checklist as-is, it’s a solid vendor-neutral feature list. Just expand “VEX and CSAF” to “Vulnerability disclosure (VEX/CSAF format).”</w:t>
            </w:r>
          </w:p>
        </w:tc>
        <w:tc>
          <w:tcPr>
            <w:tcW w:type="dxa" w:w="40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whole section is branded around one India regulation (CERT-In). VEX/CSAF are unexplained acronyms.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6. Platform Capabilities (6 cards)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“Audit-Ready Reporting” card body: “… structured for RBI and SEBI audit workflows.”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Other cards reference CVE, NVD, OSV, x.509 with no explainer.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Change to: “… structured for internal and regulatory audit workflows.”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Optional: soften “CVE, NVD, and OSV vulnerability databases” to “global vulnerability databases.”</w:t>
            </w:r>
          </w:p>
        </w:tc>
        <w:tc>
          <w:tcPr>
            <w:tcW w:type="dxa" w:w="40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Names India’s regulators inside a feature card; some cards lean on raw security acronyms.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7. Deployment Models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SaaS / On-Premises / Hybrid / Air-Gapped. Air-Gapped card mentions “KnoxCtl CLI.”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required change. Optional: spell out that KnoxCtl is AccuKnox’s own CLI tool on first mention.</w:t>
            </w:r>
          </w:p>
        </w:tc>
        <w:tc>
          <w:tcPr>
            <w:tcW w:type="dxa" w:w="40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India-specific.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8. “Proudly Built in India · Atma Nirbhar Bharat” badge band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Headline: “Proudly Built in India · Atma Nirbhar Bharat” with an Indian flag icon to its left.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Body: “Founded with SRI International. KubeArmor, our CNCF open-source project, powers the runtime security engine with 1M+ downloads across 25+ enterprise adopters, supporting Digital India and Make in India.”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badges: CNCF Project, 1M+ Downloads, SRI International, 25+ Adopters.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the headline, the India flag icon, and the “Digital India and Make in India” clause.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headline: “Built on CNCF Open Source · Founded with SRI International.”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 body: “KubeArmor, our CNCF open-source project, powers the runtime security engine with 1M+ downloads across 25+ enterprise adopters.”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Keep all 4 badges. SRI International is a US research institute, lean on that instead of India origin.</w:t>
            </w:r>
          </w:p>
        </w:tc>
        <w:tc>
          <w:tcPr>
            <w:tcW w:type="dxa" w:w="40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“Atma Nirbhar Bharat” is a Government of India self-reliance campaign name, plus a flag icon. Directly contradicts wanting AccuKnox perceived as US-aligned in Japan. This is the section flagged most strongly.</w:t>
            </w:r>
          </w:p>
        </w:tc>
      </w:tr>
      <w:tr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9. Footer, “About AccuKnox”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DEC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“AccuKnox is a Zero Trust CNAPP. Cloud Security protects API Security, CDR, SIEM, Kubernetes, VMs, Bare metals, IoT Edge, and 5G security.”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“AccuKnox is a Zero Trust cloud security platform (CNAPP) that protects clouds, containers, Kubernetes, VMs, bare metal, IoT edge, and 5G workloads from a single console.”</w:t>
            </w:r>
          </w:p>
        </w:tc>
        <w:tc>
          <w:tcPr>
            <w:tcW w:type="dxa" w:w="401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 India-specific, but an acronym wall (CNAPP, CDR, SIEM) with no plain-English translation. Cuts against the “easy for an executive to read” goal.</w:t>
            </w:r>
          </w:p>
        </w:tc>
      </w:tr>
    </w:tbl>
    <w:p>
      <w:pPr>
        <w:sectPr>
          <w:pgSz w:w="15840" w:h="12240" w:orient="landscape"/>
          <w:pgMar w:top="720" w:right="864" w:bottom="720" w:left="86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Cross-Cutting Notes</w:t>
      </w:r>
    </w:p>
    <w:p>
      <w:pPr>
        <w:pStyle w:val="Heading2"/>
      </w:pPr>
      <w:r>
        <w:t xml:space="preserve">Acronym pass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acronym that survives into the global version should be spelled out once, near its first appearance, the way the BOM cards already do (acronym + plain label underneath). Candidates still needing this: CNAPP, CDR, SIEM, VEX/CSAF.</w:t>
      </w:r>
    </w:p>
    <w:p>
      <w:pPr>
        <w:pStyle w:val="Heading2"/>
      </w:pPr>
      <w:r>
        <w:t xml:space="preserve">Images to 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regulator logo images in Section 2: CERT-In, SEBI, RBI, IRDAI.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 flag icon in Section 8.</w:t>
      </w:r>
    </w:p>
    <w:p>
      <w:pPr>
        <w:pStyle w:val="Heading2"/>
      </w:pPr>
      <w:r>
        <w:t xml:space="preserve">Images to keep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CNCF logo (Section 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SRI International logo (Section 8).</w:t>
      </w:r>
    </w:p>
    <w:p>
      <w:pPr>
        <w:pStyle w:val="Heading2"/>
      </w:pPr>
      <w:r>
        <w:t xml:space="preserve">Open decision for marketing (not a design call)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Whether to add an explicit “Headquartered in the US” line to replace the India framing, or leave the origin unstated. Don’t guess at this in layout, leave a placeholder until copy is confirmed.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B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100"/>
      <w:outlineLvl w:val="0"/>
    </w:pPr>
    <w:rPr>
      <w:rFonts w:ascii="Arial" w:cs="Arial" w:eastAsia="Arial" w:hAnsi="Arial"/>
      <w:b/>
      <w:bCs/>
      <w:color w:val="11206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11206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2026-07-02T10:59:11.606Z</dcterms:created>
  <dcterms:modified xsi:type="dcterms:W3CDTF">2026-07-02T10:59:11.607Z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