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SpaceGrotesk-bold.ttf" ContentType="application/x-font-ttf"/>
  <Override PartName="/word/fonts/SpaceGrotesk-regular.ttf" ContentType="application/x-font-ttf"/>
  <Override PartName="/word/fonts/SpaceGroteskSemiBold-bold.ttf" ContentType="application/x-font-ttf"/>
  <Override PartName="/word/fonts/SpaceGroteskSemiBol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jc w:val="center"/>
      </w:pPr>
      <w:r>
        <w:rPr>
          <w:rFonts w:ascii="Space Grotesk" w:hAnsi="Space Grotesk" w:cs="Space Grotesk" w:eastAsia="Space Grotesk"/>
          <w:b/>
          <w:color w:val="003BF6"/>
          <w:sz w:val="52"/>
        </w:rPr>
        <w:t>AccuKnox ASPM vs. SonarQube Cloud</w:t>
      </w:r>
    </w:p>
    <w:p>
      <w:pPr>
        <w:spacing w:after="280"/>
        <w:jc w:val="center"/>
      </w:pPr>
      <w:r>
        <w:rPr>
          <w:rFonts w:ascii="Space Grotesk" w:hAnsi="Space Grotesk" w:cs="Space Grotesk" w:eastAsia="Space Grotesk"/>
          <w:b/>
          <w:color w:val="595959"/>
          <w:sz w:val="22"/>
        </w:rPr>
        <w:t>CUSTOMER COMPARISON</w:t>
      </w:r>
    </w:p>
    <w:p>
      <w:pPr>
        <w:spacing w:after="320" w:line="276" w:lineRule="auto"/>
      </w:pPr>
      <w:r>
        <w:rPr>
          <w:rFonts w:ascii="Space Grotesk" w:hAnsi="Space Grotesk" w:cs="Space Grotesk" w:eastAsia="Space Grotesk"/>
          <w:b w:val="0"/>
          <w:color w:val="0D1B4B"/>
          <w:sz w:val="20"/>
        </w:rPr>
        <w:t>SonarQube Cloud (formerly SonarCloud) is a well established code quality and SAST platform, and many engineering teams already rely on it inside the SDLC. AccuKnox ASPM is built to extend that same rigor beyond the pull request, fusing SAST, DAST, SCA, secrets, IaC, and SBOM with API security, AI/LLM security, CNAPP, and runtime enforcement in a single, correlated risk graph. The two platforms are frequently run together: SonarQube Cloud strengthens code quality and developer feedback, while AccuKnox closes the gap from code to cloud to runtime.</w:t>
      </w:r>
    </w:p>
    <w:tbl>
      <w:tblPr>
        <w:tblW w:type="auto" w:w="0"/>
        <w:jc w:val="center"/>
        <w:tblLayout w:type="fixed"/>
        <w:tblLook w:firstColumn="1" w:firstRow="1" w:lastColumn="0" w:lastRow="0" w:noHBand="0" w:noVBand="1" w:val="04A0"/>
      </w:tblPr>
      <w:tblGrid>
        <w:gridCol w:w="2534"/>
        <w:gridCol w:w="6652"/>
        <w:gridCol w:w="6652"/>
      </w:tblGrid>
      <w:tr>
        <w:trPr>
          <w:cantSplit/>
          <w:tblHeader/>
        </w:trPr>
        <w:tc>
          <w:tcPr>
            <w:tcW w:type="dxa" w:w="2534"/>
            <w:shd w:val="clear" w:color="auto" w:fill="11206D"/>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r>
              <w:rPr>
                <w:rFonts w:ascii="Space Grotesk" w:hAnsi="Space Grotesk" w:cs="Space Grotesk" w:eastAsia="Space Grotesk"/>
                <w:b/>
                <w:color w:val="FFFFFF"/>
                <w:sz w:val="21"/>
              </w:rPr>
              <w:t>Capability</w:t>
            </w:r>
          </w:p>
        </w:tc>
        <w:tc>
          <w:tcPr>
            <w:tcW w:type="dxa" w:w="6653"/>
            <w:shd w:val="clear" w:color="auto" w:fill="11206D"/>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r>
              <w:rPr>
                <w:rFonts w:ascii="Space Grotesk" w:hAnsi="Space Grotesk" w:cs="Space Grotesk" w:eastAsia="Space Grotesk"/>
                <w:b/>
                <w:color w:val="FFFFFF"/>
                <w:sz w:val="21"/>
              </w:rPr>
              <w:t>AccuKnox ASPM</w:t>
            </w:r>
          </w:p>
        </w:tc>
        <w:tc>
          <w:tcPr>
            <w:tcW w:type="dxa" w:w="6653"/>
            <w:shd w:val="clear" w:color="auto" w:fill="11206D"/>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r>
              <w:rPr>
                <w:rFonts w:ascii="Space Grotesk" w:hAnsi="Space Grotesk" w:cs="Space Grotesk" w:eastAsia="Space Grotesk"/>
                <w:b/>
                <w:color w:val="FFFFFF"/>
                <w:sz w:val="21"/>
              </w:rPr>
              <w:t>SonarQube Cloud</w:t>
            </w:r>
          </w:p>
        </w:tc>
      </w:tr>
      <w:tr>
        <w:tc>
          <w:tcPr>
            <w:tcW w:type="dxa" w:w="2534"/>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0"/>
            </w:pPr>
            <w:r>
              <w:rPr>
                <w:rFonts w:ascii="Space Grotesk" w:hAnsi="Space Grotesk" w:cs="Space Grotesk" w:eastAsia="Space Grotesk"/>
                <w:b/>
                <w:color w:val="11206D"/>
                <w:sz w:val="19"/>
              </w:rPr>
              <w:t>AI-SAST</w:t>
            </w:r>
          </w:p>
        </w:tc>
        <w:tc>
          <w:tcPr>
            <w:tcW w:type="dxa" w:w="6653"/>
            <w:shd w:val="clear" w:color="auto" w:fill="EEF3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Tiered AI-accelerated SAST: deterministic rules, fine-tuned LLM triage, and large-model review in one pipeline</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Findings prioritized using reachability and runtime context, so teams focus on what's actually exploitable</w:t>
            </w:r>
          </w:p>
        </w:tc>
        <w:tc>
          <w:tcPr>
            <w:tcW w:type="dxa" w:w="6653"/>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AI Code Assurance and Agentic Analysis identify and gate AI-generated code</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AI CodeFix offers AI assisted remediation suggestions for supported rule violations</w:t>
            </w:r>
          </w:p>
        </w:tc>
      </w:tr>
      <w:tr>
        <w:tc>
          <w:tcPr>
            <w:tcW w:type="dxa" w:w="2534"/>
            <w:shd w:val="clear" w:color="auto" w:fill="F5F6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0"/>
            </w:pPr>
            <w:r>
              <w:rPr>
                <w:rFonts w:ascii="Space Grotesk" w:hAnsi="Space Grotesk" w:cs="Space Grotesk" w:eastAsia="Space Grotesk"/>
                <w:b/>
                <w:color w:val="11206D"/>
                <w:sz w:val="19"/>
              </w:rPr>
              <w:t>Rule Engine &amp; Automation</w:t>
            </w:r>
          </w:p>
        </w:tc>
        <w:tc>
          <w:tcPr>
            <w:tcW w:type="dxa" w:w="6653"/>
            <w:shd w:val="clear" w:color="auto" w:fill="EEF3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Automated ticketing, ownership routing, and noise reduction across all domains</w:t>
            </w:r>
          </w:p>
        </w:tc>
        <w:tc>
          <w:tcPr>
            <w:tcW w:type="dxa" w:w="6653"/>
            <w:shd w:val="clear" w:color="auto" w:fill="F5F6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No automated ticketing or routing engine</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Custom rule authoring for teams standardizing code-quality policy</w:t>
            </w:r>
          </w:p>
        </w:tc>
      </w:tr>
      <w:tr>
        <w:tc>
          <w:tcPr>
            <w:tcW w:type="dxa" w:w="2534"/>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0"/>
            </w:pPr>
            <w:r>
              <w:rPr>
                <w:rFonts w:ascii="Space Grotesk" w:hAnsi="Space Grotesk" w:cs="Space Grotesk" w:eastAsia="Space Grotesk"/>
                <w:b/>
                <w:color w:val="11206D"/>
                <w:sz w:val="19"/>
              </w:rPr>
              <w:t>Quality Gates</w:t>
            </w:r>
          </w:p>
        </w:tc>
        <w:tc>
          <w:tcPr>
            <w:tcW w:type="dxa" w:w="6653"/>
            <w:shd w:val="clear" w:color="auto" w:fill="EEF3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Policy-as-code gates that can block a release based on code, container, IaC, or API risk, not code alone</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Gates can factor in live exploitability, not just static severity</w:t>
            </w:r>
          </w:p>
        </w:tc>
        <w:tc>
          <w:tcPr>
            <w:tcW w:type="dxa" w:w="6653"/>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Go/no-go quality gate at the pull-request level</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Branch analysis and PR decoration with configurable pass/fail thresholds</w:t>
            </w:r>
          </w:p>
        </w:tc>
      </w:tr>
      <w:tr>
        <w:tc>
          <w:tcPr>
            <w:tcW w:type="dxa" w:w="2534"/>
            <w:shd w:val="clear" w:color="auto" w:fill="F5F6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0"/>
            </w:pPr>
            <w:r>
              <w:rPr>
                <w:rFonts w:ascii="Space Grotesk" w:hAnsi="Space Grotesk" w:cs="Space Grotesk" w:eastAsia="Space Grotesk"/>
                <w:b/>
                <w:color w:val="11206D"/>
                <w:sz w:val="19"/>
              </w:rPr>
              <w:t>IDE Extension</w:t>
            </w:r>
          </w:p>
        </w:tc>
        <w:tc>
          <w:tcPr>
            <w:tcW w:type="dxa" w:w="6653"/>
            <w:shd w:val="clear" w:color="auto" w:fill="EEF3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Findings and fix guidance surfaced in-editor through IDE plugin across VS Code, Cursor, IntelliJ, and Windsurf</w:t>
            </w:r>
          </w:p>
        </w:tc>
        <w:tc>
          <w:tcPr>
            <w:tcW w:type="dxa" w:w="6653"/>
            <w:shd w:val="clear" w:color="auto" w:fill="F5F6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SonarQube for IDE plugin across VS Code, IntelliJ, Cursor, and Windsurf</w:t>
            </w:r>
          </w:p>
        </w:tc>
      </w:tr>
      <w:tr>
        <w:tc>
          <w:tcPr>
            <w:tcW w:type="dxa" w:w="2534"/>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0"/>
            </w:pPr>
            <w:r>
              <w:rPr>
                <w:rFonts w:ascii="Space Grotesk" w:hAnsi="Space Grotesk" w:cs="Space Grotesk" w:eastAsia="Space Grotesk"/>
                <w:b/>
                <w:color w:val="11206D"/>
                <w:sz w:val="19"/>
              </w:rPr>
              <w:t>SBOM &amp; Dependency Graph</w:t>
            </w:r>
          </w:p>
        </w:tc>
        <w:tc>
          <w:tcPr>
            <w:tcW w:type="dxa" w:w="6653"/>
            <w:shd w:val="clear" w:color="auto" w:fill="EEF3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xBOM generates SBOM, CBOM, QBOM, and AI-BOM, covering software, cryptography, and AI components</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Dependency graph mapped to attack paths and runtime reachability, aligned to CERT-In and RBI reporting needs</w:t>
            </w:r>
          </w:p>
        </w:tc>
        <w:tc>
          <w:tcPr>
            <w:tcW w:type="dxa" w:w="6653"/>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No native SBOM generation</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SCA identifies vulnerable open-source dependencies within the code-scanning workflow</w:t>
            </w:r>
          </w:p>
        </w:tc>
      </w:tr>
      <w:tr>
        <w:tc>
          <w:tcPr>
            <w:tcW w:type="dxa" w:w="2534"/>
            <w:shd w:val="clear" w:color="auto" w:fill="F5F6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0"/>
            </w:pPr>
            <w:r>
              <w:rPr>
                <w:rFonts w:ascii="Space Grotesk" w:hAnsi="Space Grotesk" w:cs="Space Grotesk" w:eastAsia="Space Grotesk"/>
                <w:b/>
                <w:color w:val="11206D"/>
                <w:sz w:val="19"/>
              </w:rPr>
              <w:t>SCA</w:t>
            </w:r>
          </w:p>
        </w:tc>
        <w:tc>
          <w:tcPr>
            <w:tcW w:type="dxa" w:w="6653"/>
            <w:shd w:val="clear" w:color="auto" w:fill="EEF3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Integrated SCA across proprietary and open-source dependencies</w:t>
            </w:r>
          </w:p>
        </w:tc>
        <w:tc>
          <w:tcPr>
            <w:tcW w:type="dxa" w:w="6653"/>
            <w:shd w:val="clear" w:color="auto" w:fill="F5F6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Available as part of SonarQube Advanced Security, reviewing AI, first-party, and open-source code</w:t>
            </w:r>
          </w:p>
        </w:tc>
      </w:tr>
      <w:tr>
        <w:tc>
          <w:tcPr>
            <w:tcW w:type="dxa" w:w="2534"/>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0"/>
            </w:pPr>
            <w:r>
              <w:rPr>
                <w:rFonts w:ascii="Space Grotesk" w:hAnsi="Space Grotesk" w:cs="Space Grotesk" w:eastAsia="Space Grotesk"/>
                <w:b/>
                <w:color w:val="11206D"/>
                <w:sz w:val="19"/>
              </w:rPr>
              <w:t>DAST</w:t>
            </w:r>
          </w:p>
        </w:tc>
        <w:tc>
          <w:tcPr>
            <w:tcW w:type="dxa" w:w="6653"/>
            <w:shd w:val="clear" w:color="auto" w:fill="EEF3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Native DAST in the same pipeline</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Authenticated TOTP-based scans supported</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Coverage for OWASP Top 10 with Baseline and Extended Scan</w:t>
            </w:r>
          </w:p>
        </w:tc>
        <w:tc>
          <w:tcPr>
            <w:tcW w:type="dxa" w:w="6653"/>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Not a native capability; typically paired with a separate DAST tool</w:t>
            </w:r>
          </w:p>
        </w:tc>
      </w:tr>
      <w:tr>
        <w:tc>
          <w:tcPr>
            <w:tcW w:type="dxa" w:w="2534"/>
            <w:shd w:val="clear" w:color="auto" w:fill="F5F6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0"/>
            </w:pPr>
            <w:r>
              <w:rPr>
                <w:rFonts w:ascii="Space Grotesk" w:hAnsi="Space Grotesk" w:cs="Space Grotesk" w:eastAsia="Space Grotesk"/>
                <w:b/>
                <w:color w:val="11206D"/>
                <w:sz w:val="19"/>
              </w:rPr>
              <w:t>API Security</w:t>
            </w:r>
          </w:p>
        </w:tc>
        <w:tc>
          <w:tcPr>
            <w:tcW w:type="dxa" w:w="6653"/>
            <w:shd w:val="clear" w:color="auto" w:fill="EEF3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Dedicated module for shadow API discovery, inventory, and attack-surface scanning</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API findings correlated with runtime and gateway telemetry</w:t>
            </w:r>
          </w:p>
        </w:tc>
        <w:tc>
          <w:tcPr>
            <w:tcW w:type="dxa" w:w="6653"/>
            <w:shd w:val="clear" w:color="auto" w:fill="F5F6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Not a native capability; API risk is addressed at the code level only</w:t>
            </w:r>
          </w:p>
        </w:tc>
      </w:tr>
      <w:tr>
        <w:tc>
          <w:tcPr>
            <w:tcW w:type="dxa" w:w="2534"/>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0"/>
            </w:pPr>
            <w:r>
              <w:rPr>
                <w:rFonts w:ascii="Space Grotesk" w:hAnsi="Space Grotesk" w:cs="Space Grotesk" w:eastAsia="Space Grotesk"/>
                <w:b/>
                <w:color w:val="11206D"/>
                <w:sz w:val="19"/>
              </w:rPr>
              <w:t>AI / LLM Security</w:t>
            </w:r>
          </w:p>
        </w:tc>
        <w:tc>
          <w:tcPr>
            <w:tcW w:type="dxa" w:w="6653"/>
            <w:shd w:val="clear" w:color="auto" w:fill="EEF3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AI-SPM covers prompt guardrails, AI red-teaming, AI detection and response, and agentic/MCP security across 100+ models</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Extends protection to deployed AI applications and agents, not just AI-authored code</w:t>
            </w:r>
          </w:p>
        </w:tc>
        <w:tc>
          <w:tcPr>
            <w:tcW w:type="dxa" w:w="6653"/>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Not part of the product; no AI/LLM security capabilities</w:t>
            </w:r>
          </w:p>
        </w:tc>
      </w:tr>
      <w:tr>
        <w:tc>
          <w:tcPr>
            <w:tcW w:type="dxa" w:w="2534"/>
            <w:shd w:val="clear" w:color="auto" w:fill="F5F6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0"/>
            </w:pPr>
            <w:r>
              <w:rPr>
                <w:rFonts w:ascii="Space Grotesk" w:hAnsi="Space Grotesk" w:cs="Space Grotesk" w:eastAsia="Space Grotesk"/>
                <w:b/>
                <w:color w:val="11206D"/>
                <w:sz w:val="19"/>
              </w:rPr>
              <w:t>CNAPP (CSPM / CIEM)</w:t>
            </w:r>
          </w:p>
        </w:tc>
        <w:tc>
          <w:tcPr>
            <w:tcW w:type="dxa" w:w="6653"/>
            <w:shd w:val="clear" w:color="auto" w:fill="EEF3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Full Zero Trust CNAPP, CSPM, CWPP, KSPM, CDR, CIEM, and DSPM unified with ASPM in one risk graph</w:t>
            </w:r>
          </w:p>
        </w:tc>
        <w:tc>
          <w:tcPr>
            <w:tcW w:type="dxa" w:w="6653"/>
            <w:shd w:val="clear" w:color="auto" w:fill="F5F6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Not part of the product; SonarQube Cloud is scoped to code analysis</w:t>
            </w:r>
          </w:p>
        </w:tc>
      </w:tr>
      <w:tr>
        <w:tc>
          <w:tcPr>
            <w:tcW w:type="dxa" w:w="2534"/>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0"/>
            </w:pPr>
            <w:r>
              <w:rPr>
                <w:rFonts w:ascii="Space Grotesk" w:hAnsi="Space Grotesk" w:cs="Space Grotesk" w:eastAsia="Space Grotesk"/>
                <w:b/>
                <w:color w:val="11206D"/>
                <w:sz w:val="19"/>
              </w:rPr>
              <w:t>CWPP and Runtime Security</w:t>
            </w:r>
          </w:p>
        </w:tc>
        <w:tc>
          <w:tcPr>
            <w:tcW w:type="dxa" w:w="6653"/>
            <w:shd w:val="clear" w:color="auto" w:fill="EEF3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eBPF/LSM-based runtime enforcement (KubeArmor, a CNCF Sandbox project) with minimal performance overhead</w:t>
            </w:r>
          </w:p>
        </w:tc>
        <w:tc>
          <w:tcPr>
            <w:tcW w:type="dxa" w:w="6653"/>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Not part of the product; SonarQube Cloud is scoped to code analysis</w:t>
            </w:r>
          </w:p>
        </w:tc>
      </w:tr>
      <w:tr>
        <w:tc>
          <w:tcPr>
            <w:tcW w:type="dxa" w:w="2534"/>
            <w:shd w:val="clear" w:color="auto" w:fill="F5F6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0"/>
            </w:pPr>
            <w:r>
              <w:rPr>
                <w:rFonts w:ascii="Space Grotesk" w:hAnsi="Space Grotesk" w:cs="Space Grotesk" w:eastAsia="Space Grotesk"/>
                <w:b/>
                <w:color w:val="11206D"/>
                <w:sz w:val="19"/>
              </w:rPr>
              <w:t>Runtime Security</w:t>
            </w:r>
          </w:p>
        </w:tc>
        <w:tc>
          <w:tcPr>
            <w:tcW w:type="dxa" w:w="6653"/>
            <w:shd w:val="clear" w:color="auto" w:fill="EEF3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Inline runtime prevention that blocks anomalous and zero-day behavior, not just static detection</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Runtime telemetry feeds back into prioritization to reduce alert volume</w:t>
            </w:r>
          </w:p>
        </w:tc>
        <w:tc>
          <w:tcPr>
            <w:tcW w:type="dxa" w:w="6653"/>
            <w:shd w:val="clear" w:color="auto" w:fill="F5F6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Not part of the product; analysis is complete at build/PR time</w:t>
            </w:r>
          </w:p>
        </w:tc>
      </w:tr>
      <w:tr>
        <w:tc>
          <w:tcPr>
            <w:tcW w:type="dxa" w:w="2534"/>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0"/>
            </w:pPr>
            <w:r>
              <w:rPr>
                <w:rFonts w:ascii="Space Grotesk" w:hAnsi="Space Grotesk" w:cs="Space Grotesk" w:eastAsia="Space Grotesk"/>
                <w:b/>
                <w:color w:val="11206D"/>
                <w:sz w:val="19"/>
              </w:rPr>
              <w:t>Deployment Model</w:t>
            </w:r>
          </w:p>
        </w:tc>
        <w:tc>
          <w:tcPr>
            <w:tcW w:type="dxa" w:w="6653"/>
            <w:shd w:val="clear" w:color="auto" w:fill="EEF3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SaaS, on-premises, or fully air-gapped; suited to regulated and classified environments</w:t>
            </w:r>
          </w:p>
        </w:tc>
        <w:tc>
          <w:tcPr>
            <w:tcW w:type="dxa" w:w="6653"/>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SaaS only; on-prem/air-gapped deployment requires the separate SonarQube Server product</w:t>
            </w:r>
          </w:p>
        </w:tc>
      </w:tr>
      <w:tr>
        <w:tc>
          <w:tcPr>
            <w:tcW w:type="dxa" w:w="2534"/>
            <w:shd w:val="clear" w:color="auto" w:fill="F5F6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0"/>
            </w:pPr>
            <w:r>
              <w:rPr>
                <w:rFonts w:ascii="Space Grotesk" w:hAnsi="Space Grotesk" w:cs="Space Grotesk" w:eastAsia="Space Grotesk"/>
                <w:b/>
                <w:color w:val="11206D"/>
                <w:sz w:val="19"/>
              </w:rPr>
              <w:t>Integration Support</w:t>
            </w:r>
          </w:p>
        </w:tc>
        <w:tc>
          <w:tcPr>
            <w:tcW w:type="dxa" w:w="6653"/>
            <w:shd w:val="clear" w:color="auto" w:fill="EEF3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ITSM support via rules engine automation</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Can be integrated with a SIEM tool to route findings</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Dynamic notification flows can be created using the Rules Engine</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Flexibility to integrate other tools like SonarQube and CheckMarx</w:t>
            </w:r>
          </w:p>
        </w:tc>
        <w:tc>
          <w:tcPr>
            <w:tcW w:type="dxa" w:w="6653"/>
            <w:shd w:val="clear" w:color="auto" w:fill="F5F6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Limited integration support, present for ITSM and notifications</w:t>
            </w:r>
          </w:p>
        </w:tc>
      </w:tr>
      <w:tr>
        <w:tc>
          <w:tcPr>
            <w:tcW w:type="dxa" w:w="2534"/>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0"/>
            </w:pPr>
            <w:r>
              <w:rPr>
                <w:rFonts w:ascii="Space Grotesk" w:hAnsi="Space Grotesk" w:cs="Space Grotesk" w:eastAsia="Space Grotesk"/>
                <w:b/>
                <w:color w:val="11206D"/>
                <w:sz w:val="19"/>
              </w:rPr>
              <w:t>Reports</w:t>
            </w:r>
          </w:p>
        </w:tc>
        <w:tc>
          <w:tcPr>
            <w:tcW w:type="dxa" w:w="6653"/>
            <w:shd w:val="clear" w:color="auto" w:fill="EEF3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Executive and detailed reports in different formats can be extracted</w:t>
            </w:r>
          </w:p>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0D1B4B"/>
                <w:sz w:val="18"/>
              </w:rPr>
              <w:t>Scheduled and on-demand reports</w:t>
            </w:r>
          </w:p>
        </w:tc>
        <w:tc>
          <w:tcPr>
            <w:tcW w:type="dxa" w:w="6653"/>
            <w:shd w:val="clear" w:color="auto" w:fill="FFFFFF"/>
            <w:tcBorders>
              <w:top w:val="single" w:sz="4" w:space="0" w:color="C4CCDE"/>
              <w:left w:val="single" w:sz="4" w:space="0" w:color="C4CCDE"/>
              <w:bottom w:val="single" w:sz="4" w:space="0" w:color="C4CCDE"/>
              <w:right w:val="single" w:sz="4" w:space="0" w:color="C4CCDE"/>
            </w:tcBorders>
            <w:tcMar>
              <w:top w:w="100" w:type="dxa"/>
              <w:bottom w:w="100" w:type="dxa"/>
              <w:left w:w="120" w:type="dxa"/>
              <w:right w:w="120" w:type="dxa"/>
            </w:tcMar>
          </w:tcPr>
          <w:p>
            <w:pPr>
              <w:spacing w:after="80" w:before="0"/>
              <w:ind w:left="200" w:hanging="200"/>
            </w:pPr>
            <w:r>
              <w:rPr>
                <w:rFonts w:ascii="Space Grotesk" w:hAnsi="Space Grotesk" w:cs="Space Grotesk" w:eastAsia="Space Grotesk"/>
                <w:b/>
                <w:color w:val="003BF6"/>
                <w:sz w:val="18"/>
              </w:rPr>
              <w:t xml:space="preserve">•  </w:t>
            </w:r>
            <w:r>
              <w:rPr>
                <w:rFonts w:ascii="Space Grotesk" w:hAnsi="Space Grotesk" w:cs="Space Grotesk" w:eastAsia="Space Grotesk"/>
                <w:b w:val="0"/>
                <w:color w:val="595959"/>
                <w:sz w:val="18"/>
              </w:rPr>
              <w:t>Limited reporting capabilities</w:t>
            </w:r>
          </w:p>
        </w:tc>
      </w:tr>
    </w:tbl>
    <w:p>
      <w:pPr>
        <w:pStyle w:val="Heading2"/>
        <w:pageBreakBefore/>
        <w:spacing w:before="0" w:after="160"/>
      </w:pPr>
      <w:r>
        <w:rPr>
          <w:rFonts w:ascii="Space Grotesk" w:hAnsi="Space Grotesk" w:cs="Space Grotesk" w:eastAsia="Space Grotesk"/>
          <w:b/>
          <w:color w:val="003BF6"/>
          <w:sz w:val="32"/>
        </w:rPr>
        <w:t>What This Means for Your Team</w:t>
      </w:r>
    </w:p>
    <w:p>
      <w:pPr>
        <w:keepNext/>
        <w:spacing w:after="120" w:line="276" w:lineRule="auto"/>
        <w:ind w:left="280" w:hanging="280"/>
      </w:pPr>
      <w:r>
        <w:rPr>
          <w:rFonts w:ascii="Space Grotesk" w:hAnsi="Space Grotesk" w:cs="Space Grotesk" w:eastAsia="Space Grotesk"/>
          <w:b/>
          <w:color w:val="003BF6"/>
          <w:sz w:val="20"/>
        </w:rPr>
        <w:t xml:space="preserve">•  </w:t>
      </w:r>
      <w:r>
        <w:rPr>
          <w:rFonts w:ascii="Space Grotesk" w:hAnsi="Space Grotesk" w:cs="Space Grotesk" w:eastAsia="Space Grotesk"/>
          <w:b w:val="0"/>
          <w:color w:val="0D1B4B"/>
          <w:sz w:val="20"/>
        </w:rPr>
        <w:t>A single risk graph from code to cloud to runtime, reducing the manual correlation work required when SAST, DAST, API, and cloud findings live in separate tools.</w:t>
      </w:r>
    </w:p>
    <w:p>
      <w:pPr>
        <w:keepNext/>
        <w:spacing w:after="120" w:line="276" w:lineRule="auto"/>
        <w:ind w:left="280" w:hanging="280"/>
      </w:pPr>
      <w:r>
        <w:rPr>
          <w:rFonts w:ascii="Space Grotesk" w:hAnsi="Space Grotesk" w:cs="Space Grotesk" w:eastAsia="Space Grotesk"/>
          <w:b/>
          <w:color w:val="003BF6"/>
          <w:sz w:val="20"/>
        </w:rPr>
        <w:t xml:space="preserve">•  </w:t>
      </w:r>
      <w:r>
        <w:rPr>
          <w:rFonts w:ascii="Space Grotesk" w:hAnsi="Space Grotesk" w:cs="Space Grotesk" w:eastAsia="Space Grotesk"/>
          <w:b w:val="0"/>
          <w:color w:val="0D1B4B"/>
          <w:sz w:val="20"/>
        </w:rPr>
        <w:t>Native DAST and API security testing, so dynamic and API risk don't require a second platform and a separate remediation workflow.</w:t>
      </w:r>
    </w:p>
    <w:p>
      <w:pPr>
        <w:keepNext/>
        <w:spacing w:after="120" w:line="276" w:lineRule="auto"/>
        <w:ind w:left="280" w:hanging="280"/>
      </w:pPr>
      <w:r>
        <w:rPr>
          <w:rFonts w:ascii="Space Grotesk" w:hAnsi="Space Grotesk" w:cs="Space Grotesk" w:eastAsia="Space Grotesk"/>
          <w:b/>
          <w:color w:val="003BF6"/>
          <w:sz w:val="20"/>
        </w:rPr>
        <w:t xml:space="preserve">•  </w:t>
      </w:r>
      <w:r>
        <w:rPr>
          <w:rFonts w:ascii="Space Grotesk" w:hAnsi="Space Grotesk" w:cs="Space Grotesk" w:eastAsia="Space Grotesk"/>
          <w:b w:val="0"/>
          <w:color w:val="0D1B4B"/>
          <w:sz w:val="20"/>
        </w:rPr>
        <w:t>Runtime-verified prioritization via eBPF/LSM enforcement (KubeArmor, a CNCF Sandbox project), so teams act on what's exploitable in production rather than every static finding.</w:t>
      </w:r>
    </w:p>
    <w:p>
      <w:pPr>
        <w:keepNext/>
        <w:spacing w:after="120" w:line="276" w:lineRule="auto"/>
        <w:ind w:left="280" w:hanging="280"/>
      </w:pPr>
      <w:r>
        <w:rPr>
          <w:rFonts w:ascii="Space Grotesk" w:hAnsi="Space Grotesk" w:cs="Space Grotesk" w:eastAsia="Space Grotesk"/>
          <w:b/>
          <w:color w:val="003BF6"/>
          <w:sz w:val="20"/>
        </w:rPr>
        <w:t xml:space="preserve">•  </w:t>
      </w:r>
      <w:r>
        <w:rPr>
          <w:rFonts w:ascii="Space Grotesk" w:hAnsi="Space Grotesk" w:cs="Space Grotesk" w:eastAsia="Space Grotesk"/>
          <w:b w:val="0"/>
          <w:color w:val="0D1B4B"/>
          <w:sz w:val="20"/>
        </w:rPr>
        <w:t>A dedicated AI-SPM layer covering prompt security, AI red-teaming, and agentic/MCP protection, extending coverage to deployed AI systems, not just AI-authored code.</w:t>
      </w:r>
    </w:p>
    <w:p>
      <w:pPr>
        <w:keepNext/>
        <w:spacing w:after="120" w:line="276" w:lineRule="auto"/>
        <w:ind w:left="280" w:hanging="280"/>
      </w:pPr>
      <w:r>
        <w:rPr>
          <w:rFonts w:ascii="Space Grotesk" w:hAnsi="Space Grotesk" w:cs="Space Grotesk" w:eastAsia="Space Grotesk"/>
          <w:b/>
          <w:color w:val="003BF6"/>
          <w:sz w:val="20"/>
        </w:rPr>
        <w:t xml:space="preserve">•  </w:t>
      </w:r>
      <w:r>
        <w:rPr>
          <w:rFonts w:ascii="Space Grotesk" w:hAnsi="Space Grotesk" w:cs="Space Grotesk" w:eastAsia="Space Grotesk"/>
          <w:b w:val="0"/>
          <w:color w:val="0D1B4B"/>
          <w:sz w:val="20"/>
        </w:rPr>
        <w:t>Deeper supply-chain visibility through xBOM (SBOM, CBOM, QBOM, AI-BOM), supporting CERT-In, RBI, and similar regulatory reporting.</w:t>
      </w:r>
    </w:p>
    <w:p>
      <w:pPr>
        <w:keepNext/>
        <w:spacing w:after="120" w:line="276" w:lineRule="auto"/>
        <w:ind w:left="280" w:hanging="280"/>
      </w:pPr>
      <w:r>
        <w:rPr>
          <w:rFonts w:ascii="Space Grotesk" w:hAnsi="Space Grotesk" w:cs="Space Grotesk" w:eastAsia="Space Grotesk"/>
          <w:b/>
          <w:color w:val="003BF6"/>
          <w:sz w:val="20"/>
        </w:rPr>
        <w:t xml:space="preserve">•  </w:t>
      </w:r>
      <w:r>
        <w:rPr>
          <w:rFonts w:ascii="Space Grotesk" w:hAnsi="Space Grotesk" w:cs="Space Grotesk" w:eastAsia="Space Grotesk"/>
          <w:b w:val="0"/>
          <w:color w:val="0D1B4B"/>
          <w:sz w:val="20"/>
        </w:rPr>
        <w:t>Flexible deployment, SaaS, on-premises, or fully air-gapped, for teams with data-residency or classified-environment requirements.</w:t>
      </w:r>
    </w:p>
    <w:sectPr>
      <w:headerReference r:id="rId6" w:type="default"/>
      <w:footerReference r:id="rId7" w:type="default"/>
      <w:pgSz w:h="12240" w:w="15840" w:orient="landscape"/>
      <w:pgMar w:bottom="720" w:top="720" w:left="864" w:right="864"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pace Grotesk SemiBold">
    <w:embedRegular w:fontKey="{00000000-0000-0000-0000-000000000000}" r:id="rId1" w:subsetted="0"/>
    <w:embedBold w:fontKey="{00000000-0000-0000-0000-000000000000}" r:id="rId2" w:subsetted="0"/>
  </w:font>
  <w:font w:name="Space Grotesk">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sz w:val="24"/>
        <w:szCs w:val="24"/>
      </w:rPr>
    </w:pPr>
    <w:r w:rsidDel="00000000" w:rsidR="00000000" w:rsidRPr="00000000">
      <w:rPr>
        <w:rFonts w:ascii="Space Grotesk" w:hAnsi="Space Grotesk" w:cs="Space Grotesk" w:eastAsia="Space Grotesk"/>
        <w:b/>
        <w:color w:val="595959"/>
        <w:sz w:val="20"/>
        <w:szCs w:val="24"/>
        <w:rtl w:val="0"/>
      </w:rPr>
      <w:t>AccuKnox ASPM vs. SonarQube Cloud</w:t>
    </w:r>
    <w:r w:rsidDel="00000000" w:rsidR="00000000" w:rsidRPr="00000000">
      <w:drawing>
        <wp:anchor allowOverlap="1" behindDoc="0" distB="114300" distT="114300" distL="114300" distR="114300" hidden="0" layoutInCell="1" locked="0" relativeHeight="0" simplePos="0">
          <wp:simplePos x="0" y="0"/>
          <wp:positionH relativeFrom="rightMargin">
            <wp:align>right</wp:align>
          </wp:positionH>
          <wp:positionV relativeFrom="paragraph">
            <wp:posOffset>-152399</wp:posOffset>
          </wp:positionV>
          <wp:extent cx="1957388" cy="462161"/>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57388" cy="46216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ace Grotesk" w:cs="Space Grotesk" w:eastAsia="Space Grotesk" w:hAnsi="Space Grotesk"/>
        <w:sz w:val="18"/>
        <w:szCs w:val="18"/>
        <w:lang w:val="en"/>
      </w:rPr>
    </w:rPrDefault>
    <w:pPrDefault>
      <w:pPr>
        <w:widowControl w:val="0"/>
        <w:spacing w:before="11" w:lineRule="auto"/>
        <w:ind w:right="8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Rule="auto"/>
      <w:ind w:right="0"/>
      <w:jc w:val="center"/>
    </w:pPr>
    <w:rPr>
      <w:b w:val="1"/>
      <w:bCs w:val="1"/>
      <w:color w:val="0000ff"/>
      <w:sz w:val="48"/>
      <w:szCs w:val="48"/>
    </w:rPr>
  </w:style>
  <w:style w:type="paragraph" w:styleId="Heading2">
    <w:name w:val="heading 2"/>
    <w:basedOn w:val="Normal"/>
    <w:next w:val="Normal"/>
    <w:pPr>
      <w:keepNext w:val="1"/>
      <w:keepLines w:val="1"/>
      <w:spacing w:after="200" w:before="0" w:lineRule="auto"/>
      <w:ind w:right="0"/>
    </w:pPr>
    <w:rPr>
      <w:b w:val="1"/>
      <w:bCs w:val="1"/>
      <w:color w:val="003bf6"/>
      <w:sz w:val="36"/>
      <w:szCs w:val="36"/>
    </w:rPr>
  </w:style>
  <w:style w:type="paragraph" w:styleId="Heading3">
    <w:name w:val="heading 3"/>
    <w:basedOn w:val="Normal"/>
    <w:next w:val="Normal"/>
    <w:pPr>
      <w:keepNext w:val="1"/>
      <w:keepLines w:val="1"/>
      <w:spacing w:after="200" w:before="0" w:lineRule="auto"/>
      <w:ind w:right="0"/>
    </w:pPr>
    <w:rPr>
      <w:b w:val="1"/>
      <w:bCs w:val="1"/>
      <w:color w:val="003bf6"/>
      <w:sz w:val="28"/>
      <w:szCs w:val="28"/>
    </w:rPr>
  </w:style>
  <w:style w:type="paragraph" w:styleId="Heading4">
    <w:name w:val="heading 4"/>
    <w:basedOn w:val="Normal"/>
    <w:next w:val="Normal"/>
    <w:pPr>
      <w:keepNext w:val="1"/>
      <w:keepLines w:val="1"/>
      <w:spacing w:after="200" w:before="0" w:lineRule="auto"/>
      <w:ind w:right="0"/>
    </w:pPr>
    <w:rPr>
      <w:rFonts w:ascii="Space Grotesk SemiBold" w:cs="Space Grotesk SemiBold" w:eastAsia="Space Grotesk SemiBold" w:hAnsi="Space Grotesk SemiBold"/>
      <w:color w:val="003bf6"/>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paceGroteskSemiBold-regular.ttf"/><Relationship Id="rId2" Type="http://schemas.openxmlformats.org/officeDocument/2006/relationships/font" Target="fonts/SpaceGroteskSemiBold-bold.ttf"/><Relationship Id="rId3" Type="http://schemas.openxmlformats.org/officeDocument/2006/relationships/font" Target="fonts/SpaceGrotesk-regular.ttf"/><Relationship Id="rId4" Type="http://schemas.openxmlformats.org/officeDocument/2006/relationships/font" Target="fonts/SpaceGrotesk-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