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1463040" cy="133509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cuKnox Bad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463040" cy="133509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Title"/>
      </w:pPr>
      <w:r>
        <w:rPr>
          <w:color w:val="122E57"/>
          <w:sz w:val="44"/>
        </w:rPr>
        <w:t>Integrating Secret Scanning with AccuKnox in Jenkins</w:t>
      </w:r>
    </w:p>
    <w:p>
      <w:pPr>
        <w:jc w:val="center"/>
      </w:pPr>
      <w:r>
        <w:rPr>
          <w:i/>
          <w:color w:val="666666"/>
          <w:sz w:val="20"/>
        </w:rPr>
        <w:t>Home  ›  Integrations  ›  CI/CD  ›  Jenkins</w:t>
      </w:r>
    </w:p>
    <w:p/>
    <w:p>
      <w:r>
        <w:rPr>
          <w:b w:val="0"/>
          <w:sz w:val="22"/>
        </w:rPr>
        <w:t>This guide adds a Secret scan stage to a Jenkins pipeline using the AccuKnox ASPM Scanner plugin. The scanner walks the full git history of the checked-out repo to find committed secrets and uploads results to AccuKnox.</w:t>
      </w:r>
    </w:p>
    <w:p>
      <w:pPr>
        <w:pStyle w:val="Heading2"/>
      </w:pPr>
      <w:r>
        <w:rPr>
          <w:color w:val="122E57"/>
          <w:sz w:val="26"/>
        </w:rPr>
        <w:t>On this page</w:t>
      </w:r>
    </w:p>
    <w:p>
      <w:r>
        <w:rPr>
          <w:color w:val="1F4E79"/>
          <w:sz w:val="21"/>
        </w:rPr>
        <w:t>1. Prerequisites</w:t>
      </w:r>
    </w:p>
    <w:p>
      <w:r>
        <w:rPr>
          <w:color w:val="1F4E79"/>
          <w:sz w:val="21"/>
        </w:rPr>
        <w:t>2. Step 1: Install the AccuKnox ASPM Plugin</w:t>
      </w:r>
    </w:p>
    <w:p>
      <w:r>
        <w:rPr>
          <w:color w:val="1F4E79"/>
          <w:sz w:val="21"/>
        </w:rPr>
        <w:t>3. Step 2: Configure Jenkins credentials &amp; global settings</w:t>
      </w:r>
    </w:p>
    <w:p>
      <w:r>
        <w:rPr>
          <w:color w:val="1F4E79"/>
          <w:sz w:val="21"/>
        </w:rPr>
        <w:t>4. Step 3: Define the Jenkins Pipeline</w:t>
      </w:r>
    </w:p>
    <w:p>
      <w:r>
        <w:rPr>
          <w:color w:val="1F4E79"/>
          <w:sz w:val="21"/>
        </w:rPr>
        <w:t>5. Pipeline inputs</w:t>
      </w:r>
    </w:p>
    <w:p>
      <w:r>
        <w:rPr>
          <w:color w:val="1F4E79"/>
          <w:sz w:val="21"/>
        </w:rPr>
        <w:t>6. Severity model</w:t>
      </w:r>
    </w:p>
    <w:p>
      <w:r>
        <w:rPr>
          <w:color w:val="1F4E79"/>
          <w:sz w:val="21"/>
        </w:rPr>
        <w:t>7. Without AccuKnox vs With AccuKnox</w:t>
      </w:r>
    </w:p>
    <w:p>
      <w:r>
        <w:rPr>
          <w:color w:val="1F4E79"/>
          <w:sz w:val="21"/>
        </w:rPr>
        <w:t>8. Viewing Results in AccuKnox</w:t>
      </w:r>
    </w:p>
    <w:p>
      <w:r>
        <w:rPr>
          <w:color w:val="1F4E79"/>
          <w:sz w:val="21"/>
        </w:rPr>
        <w:t>9. Conclusion</w:t>
      </w:r>
    </w:p>
    <w:p/>
    <w:p>
      <w:pPr>
        <w:pStyle w:val="Heading1"/>
      </w:pPr>
      <w:r>
        <w:rPr>
          <w:color w:val="122E57"/>
          <w:sz w:val="32"/>
        </w:rPr>
        <w:t>Prerequisites</w:t>
      </w:r>
    </w:p>
    <w:p>
      <w:pPr>
        <w:pStyle w:val="ListBullet"/>
      </w:pPr>
      <w:r>
        <w:rPr>
          <w:sz w:val="22"/>
        </w:rPr>
        <w:t>A Jenkins controller (2.387.3 LTS or newer) with at least one build agent.</w:t>
      </w:r>
    </w:p>
    <w:p>
      <w:pPr>
        <w:pStyle w:val="ListBullet"/>
      </w:pPr>
      <w:r>
        <w:rPr>
          <w:sz w:val="22"/>
        </w:rPr>
        <w:t>An AccuKnox SaaS account with a tenant / label you can upload findings to.</w:t>
      </w:r>
    </w:p>
    <w:p>
      <w:pPr>
        <w:pStyle w:val="ListBullet"/>
      </w:pPr>
      <w:r>
        <w:rPr>
          <w:sz w:val="22"/>
        </w:rPr>
        <w:t>Network egress from the Jenkins agent to the AccuKnox control plane (or a mirrored scanner image for air-gapped agents — see AIRGAP.md).</w:t>
      </w:r>
    </w:p>
    <w:p>
      <w:pPr>
        <w:pStyle w:val="ListBullet"/>
      </w:pPr>
      <w:r>
        <w:rPr>
          <w:sz w:val="22"/>
        </w:rPr>
        <w:t>Use a full git clone (no --depth=1) — the secret scanner walks the commit history.</w:t>
      </w:r>
    </w:p>
    <w:p>
      <w:pPr>
        <w:pStyle w:val="Heading1"/>
      </w:pPr>
      <w:r>
        <w:rPr>
          <w:color w:val="122E57"/>
          <w:sz w:val="32"/>
        </w:rPr>
        <w:t>Step 1: Install the AccuKnox ASPM Plugin</w:t>
      </w:r>
    </w:p>
    <w:p>
      <w:r>
        <w:rPr>
          <w:b w:val="0"/>
          <w:sz w:val="22"/>
        </w:rPr>
        <w:t>See 1-install.docx for the one-time plugin installation steps.</w:t>
      </w:r>
    </w:p>
    <w:p>
      <w:pPr>
        <w:pStyle w:val="Heading1"/>
      </w:pPr>
      <w:r>
        <w:rPr>
          <w:color w:val="122E57"/>
          <w:sz w:val="32"/>
        </w:rPr>
        <w:t>Step 2: Configure Jenkins credentials &amp; global settings</w:t>
      </w:r>
    </w:p>
    <w:p>
      <w:pPr>
        <w:pStyle w:val="ListBullet"/>
      </w:pPr>
      <w:r>
        <w:rPr>
          <w:sz w:val="22"/>
        </w:rPr>
        <w:t>Store the AccuKnox token as a Jenkins Secret text credential.</w:t>
      </w:r>
    </w:p>
    <w:p>
      <w:pPr>
        <w:pStyle w:val="ListBullet"/>
      </w:pPr>
      <w:r>
        <w:rPr>
          <w:sz w:val="22"/>
        </w:rPr>
        <w:t>Set the endpoint, label, and token credential on the global config screen.</w:t>
      </w:r>
    </w:p>
    <w:p>
      <w:pPr>
        <w:pStyle w:val="Heading1"/>
      </w:pPr>
      <w:r>
        <w:rPr>
          <w:color w:val="122E57"/>
          <w:sz w:val="32"/>
        </w:rPr>
        <w:t>Step 3: Define the Jenkins Pipeline</w:t>
      </w:r>
    </w:p>
    <w:p>
      <w:pPr>
        <w:spacing w:before="80" w:after="80"/>
        <w:ind w:left="216" w:right="216"/>
        <w:shd w:val="clear" w:color="auto" w:fill="F4F4F6"/>
      </w:pPr>
      <w:r>
        <w:rPr>
          <w:rFonts w:ascii="Consolas" w:hAnsi="Consolas"/>
          <w:color w:val="1A1A1A"/>
          <w:sz w:val="19"/>
          <w:rFonts w:ascii="Consolas" w:hAnsi="Consolas" w:cs="Consolas"/>
        </w:rPr>
        <w:t>// AccuKnox Secret scan — standalone Jenkinsfile.</w:t>
        <w:br/>
        <w:t>//</w:t>
        <w:br/>
        <w:t>// Clones a repo and scans its git history for committed secrets.</w:t>
        <w:br/>
        <w:t>// SECRET_COMMAND must point at a git working tree the scanner can read.</w:t>
        <w:br/>
        <w:br/>
        <w:t>pipeline {</w:t>
        <w:br/>
        <w:t xml:space="preserve">  agent any</w:t>
        <w:br/>
        <w:br/>
        <w:t xml:space="preserve">  parameters {</w:t>
        <w:br/>
        <w:t xml:space="preserve">    string(name: 'REPO_URL',</w:t>
        <w:br/>
        <w:t xml:space="preserve">           defaultValue: 'https://github.com/Vickydew1/Testing.git',</w:t>
        <w:br/>
        <w:t xml:space="preserve">           description: 'Git repo to clone and scan.')</w:t>
        <w:br/>
        <w:br/>
        <w:t xml:space="preserve">    string(name: 'SECRET_COMMAND',</w:t>
        <w:br/>
        <w:t xml:space="preserve">           defaultValue: 'git file://.',</w:t>
        <w:br/>
        <w:t xml:space="preserve">           description: 'Secret scanner command. Default scans the current dir as a git repo.')</w:t>
        <w:br/>
        <w:br/>
        <w:t xml:space="preserve">    string(name: 'SEVERITY_THRESHOLD',</w:t>
        <w:br/>
        <w:t xml:space="preserve">           defaultValue: 'HIGH,CRITICAL',</w:t>
        <w:br/>
        <w:t xml:space="preserve">           description: 'Comma-separated severities that fail the build.')</w:t>
        <w:br/>
        <w:br/>
        <w:t xml:space="preserve">    booleanParam(name: 'SOFT_FAIL',</w:t>
        <w:br/>
        <w:t xml:space="preserve">                 defaultValue: true,</w:t>
        <w:br/>
        <w:t xml:space="preserve">                 description: 'true (default) = run and upload, build stays green; false = fail build on matching severities.')</w:t>
        <w:br/>
        <w:t xml:space="preserve">  }</w:t>
        <w:br/>
        <w:br/>
        <w:t xml:space="preserve">  options {</w:t>
        <w:br/>
        <w:t xml:space="preserve">    timestamps()</w:t>
        <w:br/>
        <w:t xml:space="preserve">    timeout(time: 20, unit: 'MINUTES')</w:t>
        <w:br/>
        <w:t xml:space="preserve">    disableConcurrentBuilds()</w:t>
        <w:br/>
        <w:t xml:space="preserve">  }</w:t>
        <w:br/>
        <w:br/>
        <w:t xml:space="preserve">  environment {</w:t>
        <w:br/>
        <w:t xml:space="preserve">    REPO_URL = "${params.REPO_URL}"</w:t>
        <w:br/>
        <w:t xml:space="preserve">  }</w:t>
        <w:br/>
        <w:br/>
        <w:t xml:space="preserve">  stages {</w:t>
        <w:br/>
        <w:t xml:space="preserve">    stage('Checkout') {</w:t>
        <w:br/>
        <w:t xml:space="preserve">      steps {</w:t>
        <w:br/>
        <w:t xml:space="preserve">        sh '''</w:t>
        <w:br/>
        <w:t xml:space="preserve">          set -eu</w:t>
        <w:br/>
        <w:t xml:space="preserve">          rm -rf repo</w:t>
        <w:br/>
        <w:t xml:space="preserve">          git clone "$REPO_URL" repo   # full history — secret scan reads it</w:t>
        <w:br/>
        <w:t xml:space="preserve">        '''</w:t>
        <w:br/>
        <w:t xml:space="preserve">      }</w:t>
        <w:br/>
        <w:t xml:space="preserve">    }</w:t>
        <w:br/>
        <w:br/>
        <w:t xml:space="preserve">    stage('Secret') {</w:t>
        <w:br/>
        <w:t xml:space="preserve">      steps {</w:t>
        <w:br/>
        <w:t xml:space="preserve">        dir('repo') {</w:t>
        <w:br/>
        <w:t xml:space="preserve">          accuknoxSecret(secretCommand: params.SECRET_COMMAND,</w:t>
        <w:br/>
        <w:t xml:space="preserve">                         severityThreshold: params.SEVERITY_THRESHOLD,</w:t>
        <w:br/>
        <w:t xml:space="preserve">                         softFail: params.SOFT_FAIL)</w:t>
        <w:br/>
        <w:t xml:space="preserve">        }</w:t>
        <w:br/>
        <w:t xml:space="preserve">      }</w:t>
        <w:br/>
        <w:t xml:space="preserve">    }</w:t>
        <w:br/>
        <w:t xml:space="preserve">  }</w:t>
        <w:br/>
        <w:t>}</w:t>
        <w:br/>
      </w:r>
    </w:p>
    <w:p>
      <w:r>
        <w:rPr>
          <w:b w:val="0"/>
          <w:sz w:val="22"/>
        </w:rPr>
        <w:t>Source: tested/jenkinsfile.secret.</w:t>
      </w:r>
    </w:p>
    <w:p>
      <w:pPr>
        <w:pStyle w:val="Heading2"/>
      </w:pPr>
      <w:r>
        <w:rPr>
          <w:color w:val="122E57"/>
          <w:sz w:val="26"/>
        </w:rPr>
        <w:t>Pipeline inputs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shd w:val="clear" w:color="auto" w:fill="1F3864"/>
            <w:vAlign w:val="center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</w:tcPr>
          <w:p>
            <w:r/>
            <w:r>
              <w:rPr>
                <w:b/>
                <w:color w:val="FFFFFF"/>
                <w:sz w:val="21"/>
              </w:rPr>
              <w:t>Parameter</w:t>
            </w:r>
          </w:p>
        </w:tc>
        <w:tc>
          <w:tcPr>
            <w:tcW w:type="dxa" w:w="2484"/>
            <w:shd w:val="clear" w:color="auto" w:fill="1F3864"/>
            <w:vAlign w:val="center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</w:tcPr>
          <w:p>
            <w:r/>
            <w:r>
              <w:rPr>
                <w:b/>
                <w:color w:val="FFFFFF"/>
                <w:sz w:val="21"/>
              </w:rPr>
              <w:t>Description</w:t>
            </w:r>
          </w:p>
        </w:tc>
        <w:tc>
          <w:tcPr>
            <w:tcW w:type="dxa" w:w="2484"/>
            <w:shd w:val="clear" w:color="auto" w:fill="1F3864"/>
            <w:vAlign w:val="center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</w:tcPr>
          <w:p>
            <w:r/>
            <w:r>
              <w:rPr>
                <w:b/>
                <w:color w:val="FFFFFF"/>
                <w:sz w:val="21"/>
              </w:rPr>
              <w:t>Required</w:t>
            </w:r>
          </w:p>
        </w:tc>
        <w:tc>
          <w:tcPr>
            <w:tcW w:type="dxa" w:w="2484"/>
            <w:shd w:val="clear" w:color="auto" w:fill="1F3864"/>
            <w:vAlign w:val="center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</w:tcPr>
          <w:p>
            <w:r/>
            <w:r>
              <w:rPr>
                <w:b/>
                <w:color w:val="FFFFFF"/>
                <w:sz w:val="21"/>
              </w:rPr>
              <w:t>Default</w:t>
            </w:r>
          </w:p>
        </w:tc>
      </w:tr>
      <w:tr>
        <w:tc>
          <w:tcPr>
            <w:tcW w:type="dxa" w:w="2484"/>
            <w:vAlign w:val="center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</w:tcPr>
          <w:p>
            <w:r/>
            <w:r>
              <w:rPr>
                <w:sz w:val="20"/>
              </w:rPr>
              <w:t>secretCommand</w:t>
            </w:r>
          </w:p>
        </w:tc>
        <w:tc>
          <w:tcPr>
            <w:tcW w:type="dxa" w:w="2484"/>
            <w:vAlign w:val="center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</w:tcPr>
          <w:p>
            <w:r/>
            <w:r>
              <w:rPr>
                <w:sz w:val="20"/>
              </w:rPr>
              <w:t>Passed verbatim to the secret scanner. Default scans the current dir as a git repo.</w:t>
            </w:r>
          </w:p>
        </w:tc>
        <w:tc>
          <w:tcPr>
            <w:tcW w:type="dxa" w:w="2484"/>
            <w:vAlign w:val="center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</w:tcPr>
          <w:p>
            <w:r/>
            <w:r>
              <w:rPr>
                <w:sz w:val="20"/>
              </w:rPr>
              <w:t>no</w:t>
            </w:r>
          </w:p>
        </w:tc>
        <w:tc>
          <w:tcPr>
            <w:tcW w:type="dxa" w:w="2484"/>
            <w:vAlign w:val="center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</w:tcPr>
          <w:p>
            <w:r/>
            <w:r>
              <w:rPr>
                <w:sz w:val="20"/>
              </w:rPr>
              <w:t>git file://.</w:t>
            </w:r>
          </w:p>
        </w:tc>
      </w:tr>
      <w:tr>
        <w:tc>
          <w:tcPr>
            <w:tcW w:type="dxa" w:w="2484"/>
            <w:vAlign w:val="center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</w:tcPr>
          <w:p>
            <w:r/>
            <w:r>
              <w:rPr>
                <w:sz w:val="20"/>
              </w:rPr>
              <w:t>severityThreshold</w:t>
            </w:r>
          </w:p>
        </w:tc>
        <w:tc>
          <w:tcPr>
            <w:tcW w:type="dxa" w:w="2484"/>
            <w:vAlign w:val="center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</w:tcPr>
          <w:p>
            <w:r/>
            <w:r>
              <w:rPr>
                <w:sz w:val="20"/>
              </w:rPr>
              <w:t>CSV of severities that fail the build.</w:t>
            </w:r>
          </w:p>
        </w:tc>
        <w:tc>
          <w:tcPr>
            <w:tcW w:type="dxa" w:w="2484"/>
            <w:vAlign w:val="center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</w:tcPr>
          <w:p>
            <w:r/>
            <w:r>
              <w:rPr>
                <w:sz w:val="20"/>
              </w:rPr>
              <w:t>no</w:t>
            </w:r>
          </w:p>
        </w:tc>
        <w:tc>
          <w:tcPr>
            <w:tcW w:type="dxa" w:w="2484"/>
            <w:vAlign w:val="center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</w:tcPr>
          <w:p>
            <w:r/>
            <w:r>
              <w:rPr>
                <w:sz w:val="20"/>
              </w:rPr>
              <w:t>HIGH,CRITICAL</w:t>
            </w:r>
          </w:p>
        </w:tc>
      </w:tr>
      <w:tr>
        <w:tc>
          <w:tcPr>
            <w:tcW w:type="dxa" w:w="2484"/>
            <w:vAlign w:val="center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</w:tcPr>
          <w:p>
            <w:r/>
            <w:r>
              <w:rPr>
                <w:sz w:val="20"/>
              </w:rPr>
              <w:t>softFail</w:t>
            </w:r>
          </w:p>
        </w:tc>
        <w:tc>
          <w:tcPr>
            <w:tcW w:type="dxa" w:w="2484"/>
            <w:vAlign w:val="center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</w:tcPr>
          <w:p>
            <w:r/>
            <w:r>
              <w:rPr>
                <w:sz w:val="20"/>
              </w:rPr>
              <w:t>true = advisory only; false = fail build on matching severities.</w:t>
            </w:r>
          </w:p>
        </w:tc>
        <w:tc>
          <w:tcPr>
            <w:tcW w:type="dxa" w:w="2484"/>
            <w:vAlign w:val="center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</w:tcPr>
          <w:p>
            <w:r/>
            <w:r>
              <w:rPr>
                <w:sz w:val="20"/>
              </w:rPr>
              <w:t>no</w:t>
            </w:r>
          </w:p>
        </w:tc>
        <w:tc>
          <w:tcPr>
            <w:tcW w:type="dxa" w:w="2484"/>
            <w:vAlign w:val="center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</w:tcPr>
          <w:p>
            <w:r/>
            <w:r>
              <w:rPr>
                <w:sz w:val="20"/>
              </w:rPr>
              <w:t>false</w:t>
            </w:r>
          </w:p>
        </w:tc>
      </w:tr>
    </w:tbl>
    <w:p>
      <w:pPr>
        <w:pStyle w:val="Heading2"/>
      </w:pPr>
      <w:r>
        <w:rPr>
          <w:color w:val="122E57"/>
          <w:sz w:val="26"/>
        </w:rPr>
        <w:t>Common knobs (every step accepts these)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  <w:shd w:val="clear" w:color="auto" w:fill="1F3864"/>
            <w:vAlign w:val="center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</w:tcPr>
          <w:p>
            <w:r/>
            <w:r>
              <w:rPr>
                <w:b/>
                <w:color w:val="FFFFFF"/>
                <w:sz w:val="21"/>
              </w:rPr>
              <w:t>Parameter</w:t>
            </w:r>
          </w:p>
        </w:tc>
        <w:tc>
          <w:tcPr>
            <w:tcW w:type="dxa" w:w="3312"/>
            <w:shd w:val="clear" w:color="auto" w:fill="1F3864"/>
            <w:vAlign w:val="center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</w:tcPr>
          <w:p>
            <w:r/>
            <w:r>
              <w:rPr>
                <w:b/>
                <w:color w:val="FFFFFF"/>
                <w:sz w:val="21"/>
              </w:rPr>
              <w:t>Default</w:t>
            </w:r>
          </w:p>
        </w:tc>
        <w:tc>
          <w:tcPr>
            <w:tcW w:type="dxa" w:w="3312"/>
            <w:shd w:val="clear" w:color="auto" w:fill="1F3864"/>
            <w:vAlign w:val="center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</w:tcPr>
          <w:p>
            <w:r/>
            <w:r>
              <w:rPr>
                <w:b/>
                <w:color w:val="FFFFFF"/>
                <w:sz w:val="21"/>
              </w:rPr>
              <w:t>Notes</w:t>
            </w:r>
          </w:p>
        </w:tc>
      </w:tr>
      <w:tr>
        <w:tc>
          <w:tcPr>
            <w:tcW w:type="dxa" w:w="3312"/>
            <w:vAlign w:val="center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</w:tcPr>
          <w:p>
            <w:r/>
            <w:r>
              <w:rPr>
                <w:sz w:val="20"/>
              </w:rPr>
              <w:t>endpoint</w:t>
            </w:r>
          </w:p>
        </w:tc>
        <w:tc>
          <w:tcPr>
            <w:tcW w:type="dxa" w:w="3312"/>
            <w:vAlign w:val="center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</w:tcPr>
          <w:p>
            <w:r/>
            <w:r>
              <w:rPr>
                <w:sz w:val="20"/>
              </w:rPr>
              <w:t>from global config</w:t>
            </w:r>
          </w:p>
        </w:tc>
        <w:tc>
          <w:tcPr>
            <w:tcW w:type="dxa" w:w="3312"/>
            <w:vAlign w:val="center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</w:tcPr>
          <w:p>
            <w:r/>
            <w:r>
              <w:rPr>
                <w:sz w:val="20"/>
              </w:rPr>
              <w:t>Control-plane host (no scheme). Per-step override.</w:t>
            </w:r>
          </w:p>
        </w:tc>
      </w:tr>
      <w:tr>
        <w:tc>
          <w:tcPr>
            <w:tcW w:type="dxa" w:w="3312"/>
            <w:vAlign w:val="center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</w:tcPr>
          <w:p>
            <w:r/>
            <w:r>
              <w:rPr>
                <w:sz w:val="20"/>
              </w:rPr>
              <w:t>label</w:t>
            </w:r>
          </w:p>
        </w:tc>
        <w:tc>
          <w:tcPr>
            <w:tcW w:type="dxa" w:w="3312"/>
            <w:vAlign w:val="center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</w:tcPr>
          <w:p>
            <w:r/>
            <w:r>
              <w:rPr>
                <w:sz w:val="20"/>
              </w:rPr>
              <w:t>from global config</w:t>
            </w:r>
          </w:p>
        </w:tc>
        <w:tc>
          <w:tcPr>
            <w:tcW w:type="dxa" w:w="3312"/>
            <w:vAlign w:val="center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</w:tcPr>
          <w:p>
            <w:r/>
            <w:r>
              <w:rPr>
                <w:sz w:val="20"/>
              </w:rPr>
              <w:t>Becomes the label_id on the upload.</w:t>
            </w:r>
          </w:p>
        </w:tc>
      </w:tr>
      <w:tr>
        <w:tc>
          <w:tcPr>
            <w:tcW w:type="dxa" w:w="3312"/>
            <w:vAlign w:val="center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</w:tcPr>
          <w:p>
            <w:r/>
            <w:r>
              <w:rPr>
                <w:sz w:val="20"/>
              </w:rPr>
              <w:t>credentialsId</w:t>
            </w:r>
          </w:p>
        </w:tc>
        <w:tc>
          <w:tcPr>
            <w:tcW w:type="dxa" w:w="3312"/>
            <w:vAlign w:val="center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</w:tcPr>
          <w:p>
            <w:r/>
            <w:r>
              <w:rPr>
                <w:sz w:val="20"/>
              </w:rPr>
              <w:t>from global config</w:t>
            </w:r>
          </w:p>
        </w:tc>
        <w:tc>
          <w:tcPr>
            <w:tcW w:type="dxa" w:w="3312"/>
            <w:vAlign w:val="center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</w:tcPr>
          <w:p>
            <w:r/>
            <w:r>
              <w:rPr>
                <w:sz w:val="20"/>
              </w:rPr>
              <w:t>Jenkins credential ID holding the AccuKnox bearer token.</w:t>
            </w:r>
          </w:p>
        </w:tc>
      </w:tr>
      <w:tr>
        <w:tc>
          <w:tcPr>
            <w:tcW w:type="dxa" w:w="3312"/>
            <w:vAlign w:val="center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</w:tcPr>
          <w:p>
            <w:r/>
            <w:r>
              <w:rPr>
                <w:sz w:val="20"/>
              </w:rPr>
              <w:t>skipUpload</w:t>
            </w:r>
          </w:p>
        </w:tc>
        <w:tc>
          <w:tcPr>
            <w:tcW w:type="dxa" w:w="3312"/>
            <w:vAlign w:val="center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</w:tcPr>
          <w:p>
            <w:r/>
            <w:r>
              <w:rPr>
                <w:sz w:val="20"/>
              </w:rPr>
              <w:t>false</w:t>
            </w:r>
          </w:p>
        </w:tc>
        <w:tc>
          <w:tcPr>
            <w:tcW w:type="dxa" w:w="3312"/>
            <w:vAlign w:val="center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</w:tcPr>
          <w:p>
            <w:r/>
            <w:r>
              <w:rPr>
                <w:sz w:val="20"/>
              </w:rPr>
              <w:t>Run the scanner but don't upload. Useful for dry runs.</w:t>
            </w:r>
          </w:p>
        </w:tc>
      </w:tr>
      <w:tr>
        <w:tc>
          <w:tcPr>
            <w:tcW w:type="dxa" w:w="3312"/>
            <w:vAlign w:val="center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</w:tcPr>
          <w:p>
            <w:r/>
            <w:r>
              <w:rPr>
                <w:sz w:val="20"/>
              </w:rPr>
              <w:t>keepResults</w:t>
            </w:r>
          </w:p>
        </w:tc>
        <w:tc>
          <w:tcPr>
            <w:tcW w:type="dxa" w:w="3312"/>
            <w:vAlign w:val="center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</w:tcPr>
          <w:p>
            <w:r/>
            <w:r>
              <w:rPr>
                <w:sz w:val="20"/>
              </w:rPr>
              <w:t>true</w:t>
            </w:r>
          </w:p>
        </w:tc>
        <w:tc>
          <w:tcPr>
            <w:tcW w:type="dxa" w:w="3312"/>
            <w:vAlign w:val="center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</w:tcPr>
          <w:p>
            <w:r/>
            <w:r>
              <w:rPr>
                <w:sz w:val="20"/>
              </w:rPr>
              <w:t>Keep results JSON on the agent and archive it as a build artifact.</w:t>
            </w:r>
          </w:p>
        </w:tc>
      </w:tr>
      <w:tr>
        <w:tc>
          <w:tcPr>
            <w:tcW w:type="dxa" w:w="3312"/>
            <w:vAlign w:val="center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</w:tcPr>
          <w:p>
            <w:r/>
            <w:r>
              <w:rPr>
                <w:sz w:val="20"/>
              </w:rPr>
              <w:t>containerMode</w:t>
            </w:r>
          </w:p>
        </w:tc>
        <w:tc>
          <w:tcPr>
            <w:tcW w:type="dxa" w:w="3312"/>
            <w:vAlign w:val="center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</w:tcPr>
          <w:p>
            <w:r/>
            <w:r>
              <w:rPr>
                <w:sz w:val="20"/>
              </w:rPr>
              <w:t>false</w:t>
            </w:r>
          </w:p>
        </w:tc>
        <w:tc>
          <w:tcPr>
            <w:tcW w:type="dxa" w:w="3312"/>
            <w:vAlign w:val="center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</w:tcPr>
          <w:p>
            <w:r/>
            <w:r>
              <w:rPr>
                <w:sz w:val="20"/>
              </w:rPr>
              <w:t>Run the scanner inside Docker on the agent.</w:t>
            </w:r>
          </w:p>
        </w:tc>
      </w:tr>
      <w:tr>
        <w:tc>
          <w:tcPr>
            <w:tcW w:type="dxa" w:w="3312"/>
            <w:vAlign w:val="center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</w:tcPr>
          <w:p>
            <w:r/>
            <w:r>
              <w:rPr>
                <w:sz w:val="20"/>
              </w:rPr>
              <w:t>cliPath</w:t>
            </w:r>
          </w:p>
        </w:tc>
        <w:tc>
          <w:tcPr>
            <w:tcW w:type="dxa" w:w="3312"/>
            <w:vAlign w:val="center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</w:tcPr>
          <w:p>
            <w:r/>
            <w:r>
              <w:rPr>
                <w:sz w:val="20"/>
              </w:rPr>
              <w:t>auto</w:t>
            </w:r>
          </w:p>
        </w:tc>
        <w:tc>
          <w:tcPr>
            <w:tcW w:type="dxa" w:w="3312"/>
            <w:vAlign w:val="center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</w:tcPr>
          <w:p>
            <w:r/>
            <w:r>
              <w:rPr>
                <w:sz w:val="20"/>
              </w:rPr>
              <w:t>Path to a pre-staged accuknox-aspm-scanner binary (air-gapped use).</w:t>
            </w:r>
          </w:p>
        </w:tc>
      </w:tr>
    </w:tbl>
    <w:p>
      <w:pPr>
        <w:pStyle w:val="Heading1"/>
      </w:pPr>
      <w:r>
        <w:rPr>
          <w:color w:val="122E57"/>
          <w:sz w:val="32"/>
        </w:rPr>
        <w:t>Severity model</w:t>
      </w:r>
    </w:p>
    <w:p>
      <w:r>
        <w:rPr>
          <w:b w:val="0"/>
          <w:sz w:val="22"/>
        </w:rPr>
        <w:t>The underlying secret scanner doesn't classify findings by severity, so the plugin counts every secret as a HIGH finding (committed secrets are inherently high-risk). With severityThreshold = 'HIGH,CRITICAL' any detected secret fails the build; set 'CRITICAL' only if you explicitly want to allow them.</w:t>
      </w:r>
    </w:p>
    <w:p>
      <w:pPr>
        <w:pStyle w:val="Heading1"/>
      </w:pPr>
      <w:r>
        <w:rPr>
          <w:color w:val="122E57"/>
          <w:sz w:val="32"/>
        </w:rPr>
        <w:t>Without AccuKnox vs With AccuKnox</w:t>
      </w:r>
    </w:p>
    <w:p>
      <w:r>
        <w:rPr>
          <w:b/>
          <w:sz w:val="22"/>
        </w:rPr>
        <w:t>Without AccuKnox:</w:t>
      </w:r>
    </w:p>
    <w:p>
      <w:r>
        <w:rPr>
          <w:b w:val="0"/>
          <w:sz w:val="22"/>
        </w:rPr>
        <w:t>Secret-scan output is left as a JSONL file in the workspace; you have to manually inspect or wire downstream tooling.</w:t>
      </w:r>
    </w:p>
    <w:p>
      <w:r>
        <w:rPr>
          <w:b/>
          <w:sz w:val="22"/>
        </w:rPr>
        <w:t>With AccuKnox:</w:t>
      </w:r>
    </w:p>
    <w:p>
      <w:r>
        <w:rPr>
          <w:b w:val="0"/>
          <w:sz w:val="22"/>
        </w:rPr>
        <w:t>Findings are uploaded and grouped by repo / commit / rule, and the AccuKnox console provides remediation guidance and ticketing.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2327625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crer_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3276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55555"/>
          <w:sz w:val="19"/>
        </w:rPr>
        <w:t>Figure 1 — Secret findings in the AccuKnox console.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2408429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cret_2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40842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55555"/>
          <w:sz w:val="19"/>
        </w:rPr>
        <w:t>Figure 2 — Drilling into a single secret finding.</w:t>
      </w:r>
    </w:p>
    <w:p>
      <w:pPr>
        <w:pStyle w:val="Heading1"/>
      </w:pPr>
      <w:r>
        <w:rPr>
          <w:color w:val="122E57"/>
          <w:sz w:val="32"/>
        </w:rPr>
        <w:t>Viewing Results in AccuKnox</w:t>
      </w:r>
    </w:p>
    <w:p>
      <w:r>
        <w:rPr>
          <w:b w:val="0"/>
          <w:sz w:val="22"/>
        </w:rPr>
        <w:t>Once the Jenkins job uploads its report, the findings are available in the AccuKnox SaaS console.</w:t>
      </w:r>
    </w:p>
    <w:p>
      <w:pPr>
        <w:pStyle w:val="ListNumber"/>
      </w:pPr>
      <w:r>
        <w:rPr>
          <w:sz w:val="22"/>
        </w:rPr>
        <w:t>Log in to the AccuKnox console and switch to the tenant whose label you configured in Jenkins.</w:t>
      </w:r>
    </w:p>
    <w:p>
      <w:pPr>
        <w:pStyle w:val="ListNumber"/>
      </w:pPr>
      <w:r>
        <w:rPr>
          <w:sz w:val="22"/>
        </w:rPr>
        <w:t>Open Issues → Findings, and filter by the data type that matches the scan (SAST, IaC, Secret, Container, SBOM, SCA).</w:t>
      </w:r>
    </w:p>
    <w:p>
      <w:pPr>
        <w:pStyle w:val="ListNumber"/>
      </w:pPr>
      <w:r>
        <w:rPr>
          <w:sz w:val="22"/>
        </w:rPr>
        <w:t>Click any finding to inspect the file, line, CWE, and the recommended remediation.</w:t>
      </w:r>
    </w:p>
    <w:p>
      <w:pPr>
        <w:pStyle w:val="ListNumber"/>
      </w:pPr>
      <w:r>
        <w:rPr>
          <w:sz w:val="22"/>
        </w:rPr>
        <w:t>Use the ASK AI button on a finding for an LLM-generated explanation and patch suggestion.</w:t>
      </w:r>
    </w:p>
    <w:p>
      <w:pPr>
        <w:pStyle w:val="ListNumber"/>
      </w:pPr>
      <w:r>
        <w:rPr>
          <w:sz w:val="22"/>
        </w:rPr>
        <w:t>Create a ticket directly from the finding to track remediation.</w:t>
      </w:r>
    </w:p>
    <w:p>
      <w:pPr>
        <w:pStyle w:val="ListNumber"/>
      </w:pPr>
      <w:r>
        <w:rPr>
          <w:sz w:val="22"/>
        </w:rPr>
        <w:t>Re-run the Jenkins job after fixing the issue — the finding flips to Resolved on the next ingest.</w:t>
      </w:r>
    </w:p>
    <w:p>
      <w:pPr>
        <w:pStyle w:val="Heading1"/>
      </w:pPr>
      <w:r>
        <w:rPr>
          <w:color w:val="122E57"/>
          <w:sz w:val="32"/>
        </w:rPr>
        <w:t>Conclusion</w:t>
      </w:r>
    </w:p>
    <w:p>
      <w:r>
        <w:rPr>
          <w:b w:val="0"/>
          <w:sz w:val="22"/>
        </w:rPr>
        <w:t>Wiring Secret scanning into Jenkins via the AccuKnox ASPM plugin gives you continuous, automated detection of issues on every build, with a single pane of glass in the AccuKnox console for triage, ticketing, and verification. Combine it with the other scan types (SAST, IaC, Secret, Container, SBOM, SCA) to get full-coverage ASPM directly from your pipelines.</w:t>
      </w:r>
    </w:p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