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1"/>
      </w:pPr>
      <w:r>
        <w:rPr>
          <w:sz w:val="44"/>
          <w:szCs w:val="44"/>
        </w:rPr>
        <w:t xml:space="preserve">AccuKnox Product Roadmap</w:t>
      </w:r>
    </w:p>
    <w:p w14:paraId="00000002">
      <w:pPr>
        <w:pStyle w:val="Heading1"/>
      </w:pPr>
      <w:r>
        <w:rPr>
          <w:sz w:val="36"/>
          <w:szCs w:val="36"/>
          <w:color w:val="434343"/>
        </w:rPr>
        <w:t xml:space="preserve">CIEM &amp; DSPM</w:t>
      </w:r>
    </w:p>
    <w:p w14:paraId="00000003">
      <w:pPr>
        <w:spacing w:after="60" w:before="0"/>
      </w:pPr>
    </w:p>
    <w:p w14:paraId="00000010">
      <w:pPr>
        <w:pStyle w:val="Heading2"/>
      </w:pPr>
      <w:r>
        <w:t xml:space="preserve">1. Cloud Infrastructure Entitlement Management (CIEM)</w:t>
      </w:r>
    </w:p>
    <w:p w14:paraId="00000011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AccuKnox CIEM maps identities to entitlements to resources across AWS, Azure, and GCP using a graph-native engine (Neo4J + Cartography). It answers the question “who can access what” across all three clouds, with risk-scored findings, compliance mapping, and workflow integrations.</w:t>
      </w:r>
    </w:p>
    <w:p w14:paraId="00000012">
      <w:pPr>
        <w:pStyle w:val="Heading3"/>
      </w:pPr>
      <w:r>
        <w:t xml:space="preserve">Current · Q3 2026 (In Progress)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003bf6"/>
          </w:tcPr>
          <w:p w14:paraId="00000013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00000014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15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Graph-Native Identity Map</w:t>
            </w:r>
          </w:p>
        </w:tc>
        <w:tc>
          <w:tcPr>
            <w:tcW w:w="6240" w:type="dxa"/>
          </w:tcPr>
          <w:p w14:paraId="000000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Accounts, roles, policies, and resources mapped across AWS, Azure, GCP via Neo4J + Cartography.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17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Unified IAM Inventory</w:t>
            </w:r>
          </w:p>
        </w:tc>
        <w:tc>
          <w:tcPr>
            <w:tcW w:w="6240" w:type="dxa"/>
          </w:tcPr>
          <w:p w14:paraId="000000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Single-pane “who can access what” view across all three clouds.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19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6 Finding Categories</w:t>
            </w:r>
          </w:p>
        </w:tc>
        <w:tc>
          <w:tcPr>
            <w:tcW w:w="6240" w:type="dxa"/>
          </w:tcPr>
          <w:p w14:paraId="000000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Privilege Escalation, Data Exfiltration, Resource Exposure, Service Wildcard, Credentials Exposure, Infrastructure Modification.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1B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Risk-Scored Findings</w:t>
            </w:r>
          </w:p>
        </w:tc>
        <w:tc>
          <w:tcPr>
            <w:tcW w:w="6240" w:type="dxa"/>
          </w:tcPr>
          <w:p w14:paraId="00000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Per-finding remediation steps with risk scoring.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1D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Compliance Mapping</w:t>
            </w:r>
          </w:p>
        </w:tc>
        <w:tc>
          <w:tcPr>
            <w:tcW w:w="6240" w:type="dxa"/>
          </w:tcPr>
          <w:p w14:paraId="000000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CIS, NIST, PCI, SOC 2 frameworks mapped out of the box.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1F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Workflow Integrations</w:t>
            </w:r>
          </w:p>
        </w:tc>
        <w:tc>
          <w:tcPr>
            <w:tcW w:w="6240" w:type="dxa"/>
          </w:tcPr>
          <w:p w14:paraId="0000002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ITSM, Slack, Teams, and SIEM workflow integrations.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21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CISO Dashboards</w:t>
            </w:r>
          </w:p>
        </w:tc>
        <w:tc>
          <w:tcPr>
            <w:tcW w:w="6240" w:type="dxa"/>
          </w:tcPr>
          <w:p w14:paraId="000000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Customizable dashboards and evidence export for audit.</w:t>
            </w:r>
          </w:p>
        </w:tc>
      </w:tr>
    </w:tbl>
    <w:p w14:paraId="00000023">
      <w:pPr>
        <w:spacing w:after="80" w:before="60"/>
      </w:pPr>
    </w:p>
    <w:p w14:paraId="00000024">
      <w:pPr>
        <w:pStyle w:val="Heading3"/>
      </w:pPr>
      <w:r>
        <w:t xml:space="preserve">Near · Q4 2026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003bf6"/>
          </w:tcPr>
          <w:p w14:paraId="00000025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00000026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27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Non-Human Identities</w:t>
            </w:r>
          </w:p>
        </w:tc>
        <w:tc>
          <w:tcPr>
            <w:tcW w:w="6240" w:type="dxa"/>
          </w:tcPr>
          <w:p w14:paraId="000000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accounts, workload identities, and K8s RBAC.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29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Cross-Cloud Escalation Paths</w:t>
            </w:r>
          </w:p>
        </w:tc>
        <w:tc>
          <w:tcPr>
            <w:tcW w:w="6240" w:type="dxa"/>
          </w:tcPr>
          <w:p w14:paraId="000000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Privilege escalation path detection across clouds via graph traversal.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2B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IaC Diff Output</w:t>
            </w:r>
          </w:p>
        </w:tc>
        <w:tc>
          <w:tcPr>
            <w:tcW w:w="6240" w:type="dxa"/>
          </w:tcPr>
          <w:p w14:paraId="0000002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Terraform / CloudFormation right-sizing PRs auto-generated per finding.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2D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IdP Integration</w:t>
            </w:r>
          </w:p>
        </w:tc>
        <w:tc>
          <w:tcPr>
            <w:tcW w:w="6240" w:type="dxa"/>
          </w:tcPr>
          <w:p w14:paraId="000000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Okta / IdP integration for effective-permissions resolution.</w:t>
            </w:r>
          </w:p>
        </w:tc>
      </w:tr>
    </w:tbl>
    <w:p w14:paraId="0000002F">
      <w:pPr>
        <w:spacing w:after="80" w:before="60"/>
      </w:pPr>
    </w:p>
    <w:p w14:paraId="00000030">
      <w:pPr>
        <w:pStyle w:val="Heading3"/>
      </w:pPr>
      <w:r>
        <w:t xml:space="preserve">Far · Q1–Q2 2027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003bf6"/>
          </w:tcPr>
          <w:p w14:paraId="00000031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00000032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33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AI Agent Identity Governance</w:t>
            </w:r>
          </w:p>
        </w:tc>
        <w:tc>
          <w:tcPr>
            <w:tcW w:w="6240" w:type="dxa"/>
          </w:tcPr>
          <w:p w14:paraId="000000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Bedrock agents, Copilot Studio, MCP, LangChain service accounts.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35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CIEM + DSPM Correlation</w:t>
            </w:r>
          </w:p>
        </w:tc>
        <w:tc>
          <w:tcPr>
            <w:tcW w:w="6240" w:type="dxa"/>
          </w:tcPr>
          <w:p w14:paraId="000000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“Which identities have access to sensitive data stores?” in a single query.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37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ML Right-Sizing</w:t>
            </w:r>
          </w:p>
        </w:tc>
        <w:tc>
          <w:tcPr>
            <w:tcW w:w="6240" w:type="dxa"/>
          </w:tcPr>
          <w:p w14:paraId="000000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Continuous right-sizing recommendations + entitlement drift alerts.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39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Anomaly Auto-Suspend</w:t>
            </w:r>
          </w:p>
        </w:tc>
        <w:tc>
          <w:tcPr>
            <w:tcW w:w="6240" w:type="dxa"/>
          </w:tcPr>
          <w:p w14:paraId="000000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Unusual access patterns trigger automatic session revocation.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3B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CIEM + CDR Feedback Loop</w:t>
            </w:r>
          </w:p>
        </w:tc>
        <w:tc>
          <w:tcPr>
            <w:tcW w:w="6240" w:type="dxa"/>
          </w:tcPr>
          <w:p w14:paraId="000000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Runtime identity anomalies surface in the CIEM console.</w:t>
            </w:r>
          </w:p>
        </w:tc>
      </w:tr>
    </w:tbl>
    <w:p w14:paraId="0000003D">
      <w:pPr>
        <w:spacing w:after="80" w:before="100"/>
      </w:pPr>
    </w:p>
    <w:p w14:paraId="00000040">
      <w:pPr>
        <w:pStyle w:val="Heading2"/>
      </w:pPr>
      <w:r>
        <w:t xml:space="preserve">2. Data Security Posture Management (DSPM)</w:t>
      </w:r>
    </w:p>
    <w:p w14:paraId="00000041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AccuKnox DSPM is GA: agentless onboarding in 15 minutes, 99.8% classification accuracy across 50+ sensitive data types. It discovers, classifies, and protects sensitive data across public, private, and hybrid clouds.</w:t>
      </w:r>
    </w:p>
    <w:p w14:paraId="00000042">
      <w:pPr>
        <w:pStyle w:val="Heading3"/>
      </w:pPr>
      <w:r>
        <w:t xml:space="preserve">Current · Q3 2026 (GA)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003bf6"/>
          </w:tcPr>
          <w:p w14:paraId="00000043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00000044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45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Agentless Discovery</w:t>
            </w:r>
          </w:p>
        </w:tc>
        <w:tc>
          <w:tcPr>
            <w:tcW w:w="6240" w:type="dxa"/>
          </w:tcPr>
          <w:p w14:paraId="000000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S3, RDS, Azure Blob, GCS scanned with no agent and no code changes required.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47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ML Classification</w:t>
            </w:r>
          </w:p>
        </w:tc>
        <w:tc>
          <w:tcPr>
            <w:tcW w:w="6240" w:type="dxa"/>
          </w:tcPr>
          <w:p w14:paraId="000000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50+ data types classified (PII, PHI, PCI, secrets) with ML-based detection.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49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Access Permission Mapping</w:t>
            </w:r>
          </w:p>
        </w:tc>
        <w:tc>
          <w:tcPr>
            <w:tcW w:w="6240" w:type="dxa"/>
          </w:tcPr>
          <w:p w14:paraId="000000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Over-privilege detection per data store.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4B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Compliance Framework Mapping</w:t>
            </w:r>
          </w:p>
        </w:tc>
        <w:tc>
          <w:tcPr>
            <w:tcW w:w="6240" w:type="dxa"/>
          </w:tcPr>
          <w:p w14:paraId="000000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GDPR, HIPAA, PCI mapped with audit-ready report export.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4D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Real-Time Risk Dashboards</w:t>
            </w:r>
          </w:p>
        </w:tc>
        <w:tc>
          <w:tcPr>
            <w:tcW w:w="6240" w:type="dxa"/>
          </w:tcPr>
          <w:p w14:paraId="000000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 dashboards + ITSM / SIEM integrations.</w:t>
            </w:r>
          </w:p>
        </w:tc>
      </w:tr>
    </w:tbl>
    <w:p w14:paraId="0000004F">
      <w:pPr>
        <w:spacing w:after="80" w:before="60"/>
      </w:pPr>
    </w:p>
    <w:p w14:paraId="00000050">
      <w:pPr>
        <w:pStyle w:val="Heading3"/>
      </w:pPr>
      <w:r>
        <w:t xml:space="preserve">Near · Q4 2026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003bf6"/>
          </w:tcPr>
          <w:p w14:paraId="00000051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00000052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53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Data Warehouse Scanning</w:t>
            </w:r>
          </w:p>
        </w:tc>
        <w:tc>
          <w:tcPr>
            <w:tcW w:w="6240" w:type="dxa"/>
          </w:tcPr>
          <w:p w14:paraId="000000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Snowflake, BigQuery, Redshift, MongoDB.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55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Unstructured Stores</w:t>
            </w:r>
          </w:p>
        </w:tc>
        <w:tc>
          <w:tcPr>
            <w:tcW w:w="6240" w:type="dxa"/>
          </w:tcPr>
          <w:p w14:paraId="000000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SharePoint, Confluence, Google Drive.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57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Shadow Data Discovery</w:t>
            </w:r>
          </w:p>
        </w:tc>
        <w:tc>
          <w:tcPr>
            <w:tcW w:w="6240" w:type="dxa"/>
          </w:tcPr>
          <w:p w14:paraId="000000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Unmanaged data sources auto-surfaced.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59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Data Lineage Graph</w:t>
            </w:r>
          </w:p>
        </w:tc>
        <w:tc>
          <w:tcPr>
            <w:tcW w:w="6240" w:type="dxa"/>
          </w:tcPr>
          <w:p w14:paraId="000000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 to pipeline to consumer mapped across all stores.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5B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Inline DLP Enforcement</w:t>
            </w:r>
          </w:p>
        </w:tc>
        <w:tc>
          <w:tcPr>
            <w:tcW w:w="6240" w:type="dxa"/>
          </w:tcPr>
          <w:p w14:paraId="0000005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 unauthorized reads/writes to classified stores.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5D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Auto-Quarantine</w:t>
            </w:r>
          </w:p>
        </w:tc>
        <w:tc>
          <w:tcPr>
            <w:tcW w:w="6240" w:type="dxa"/>
          </w:tcPr>
          <w:p w14:paraId="0000005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Unprotected sensitive files quarantined pending review.</w:t>
            </w:r>
          </w:p>
        </w:tc>
      </w:tr>
    </w:tbl>
    <w:p w14:paraId="0000005F">
      <w:pPr>
        <w:spacing w:after="80" w:before="60"/>
      </w:pPr>
    </w:p>
    <w:p w14:paraId="00000060">
      <w:pPr>
        <w:pStyle w:val="Heading3"/>
      </w:pPr>
      <w:r>
        <w:t xml:space="preserve">Far · Q1–Q2 2027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shd w:val="clear" w:color="auto" w:fill="003bf6"/>
          </w:tcPr>
          <w:p w14:paraId="00000061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shd w:val="clear" w:color="auto" w:fill="003bf6"/>
          </w:tcPr>
          <w:p w14:paraId="00000062">
            <w:pPr>
              <w:rPr>
                <w:b w:val="1"/>
                <w:color w:val="FFFFFF"/>
                <w:sz w:val="20"/>
                <w:szCs w:val="20"/>
              </w:rPr>
            </w:pPr>
            <w:r>
              <w:rPr>
                <w:b w:val="1"/>
                <w:color w:val="FFFFFF"/>
                <w:sz w:val="20"/>
                <w:szCs w:val="20"/>
              </w:rPr>
              <w:t>Details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63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DSPM + CSPM Attack Paths</w:t>
            </w:r>
          </w:p>
        </w:tc>
        <w:tc>
          <w:tcPr>
            <w:tcW w:w="6240" w:type="dxa"/>
          </w:tcPr>
          <w:p w14:paraId="000000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Exposed bucket + classified PII = critical breach path.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65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DSPM + CIEM Correlation</w:t>
            </w:r>
          </w:p>
        </w:tc>
        <w:tc>
          <w:tcPr>
            <w:tcW w:w="6240" w:type="dxa"/>
          </w:tcPr>
          <w:p w14:paraId="0000006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“Who can access what sensitive data” in a single query.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67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DSPM + CDR Integration</w:t>
            </w:r>
          </w:p>
        </w:tc>
        <w:tc>
          <w:tcPr>
            <w:tcW w:w="6240" w:type="dxa"/>
          </w:tcPr>
          <w:p w14:paraId="000000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Real-time exfiltration detection correlated with data classification.</w:t>
            </w:r>
          </w:p>
        </w:tc>
      </w:tr>
      <w:tr>
        <w:tc>
          <w:tcPr>
            <w:tcW w:w="3120" w:type="dxa"/>
            <w:shd w:val="clear" w:color="auto" w:fill="EEF0F6"/>
          </w:tcPr>
          <w:p w14:paraId="00000069">
            <w:pPr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>LLM Compliance Narratives</w:t>
            </w:r>
          </w:p>
        </w:tc>
        <w:tc>
          <w:tcPr>
            <w:tcW w:w="6240" w:type="dxa"/>
          </w:tcPr>
          <w:p w14:paraId="000000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AI-assisted compliance narrative generation for audit packs.</w:t>
            </w:r>
          </w:p>
        </w:tc>
      </w:tr>
    </w:tbl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pace Grotesk SemiBold">
    <w:embedRegular w:fontKey="{00000000-0000-0000-0000-000000000000}" r:id="rId1" w:subsetted="0"/>
    <w:embedBold w:fontKey="{00000000-0000-0000-0000-000000000000}" r:id="rId2" w:subsetted="0"/>
  </w:font>
  <w:font w:name="Space Grotesk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AccuKnox CIEM &amp; DSPM Product Roadmap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4333875</wp:posOffset>
          </wp:positionH>
          <wp:positionV relativeFrom="paragraph">
            <wp:posOffset>-152399</wp:posOffset>
          </wp:positionV>
          <wp:extent cx="1957388" cy="4621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7388" cy="4621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18"/>
        <w:szCs w:val="18"/>
        <w:lang w:val="en"/>
      </w:rPr>
    </w:rPrDefault>
    <w:pPrDefault>
      <w:pPr>
        <w:widowControl w:val="0"/>
        <w:spacing w:before="11" w:lineRule="auto"/>
        <w:ind w:right="8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Rule="auto"/>
      <w:ind w:right="0"/>
      <w:jc w:val="center"/>
    </w:pPr>
    <w:rPr>
      <w:b w:val="1"/>
      <w:bCs w:val="1"/>
      <w:color w:val="0000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0" w:lineRule="auto"/>
      <w:ind w:right="0"/>
    </w:pPr>
    <w:rPr>
      <w:rFonts w:ascii="Space Grotesk SemiBold" w:cs="Space Grotesk SemiBold" w:eastAsia="Space Grotesk SemiBold" w:hAnsi="Space Grotesk SemiBold"/>
      <w:color w:val="003bf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SpaceGroteskSemiBold-regular.ttf"/><Relationship Id="rId2" Type="http://schemas.openxmlformats.org/officeDocument/2006/relationships/font" Target="fonts/SpaceGroteskSemiBold-bold.ttf"/><Relationship Id="rId3" Type="http://schemas.openxmlformats.org/officeDocument/2006/relationships/font" Target="fonts/SpaceGrotesk-regular.ttf"/><Relationship Id="rId4" Type="http://schemas.openxmlformats.org/officeDocument/2006/relationships/font" Target="fonts/SpaceGrotesk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