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C92D0" w14:textId="77777777" w:rsidR="00770407" w:rsidRDefault="00000000">
      <w:pPr>
        <w:pStyle w:val="Heading1"/>
      </w:pPr>
      <w:r>
        <w:rPr>
          <w:sz w:val="44"/>
          <w:szCs w:val="44"/>
        </w:rPr>
        <w:t>AccuKnox Differentiated Offering</w:t>
      </w:r>
    </w:p>
    <w:p w14:paraId="3A29116D" w14:textId="77777777" w:rsidR="00770407" w:rsidRDefault="00000000">
      <w:pPr>
        <w:pStyle w:val="Heading1"/>
      </w:pPr>
      <w:r>
        <w:rPr>
          <w:color w:val="434343"/>
          <w:sz w:val="36"/>
          <w:szCs w:val="36"/>
        </w:rPr>
        <w:t>Cloud Security</w:t>
      </w:r>
    </w:p>
    <w:p w14:paraId="548E5099" w14:textId="77777777" w:rsidR="00770407" w:rsidRDefault="00770407">
      <w:pPr>
        <w:spacing w:before="0" w:after="60"/>
      </w:pPr>
    </w:p>
    <w:p w14:paraId="72B6DACA" w14:textId="77777777" w:rsidR="00770407" w:rsidRDefault="00000000">
      <w:pPr>
        <w:jc w:val="center"/>
      </w:pPr>
      <w:r>
        <w:rPr>
          <w:noProof/>
        </w:rPr>
        <w:drawing>
          <wp:inline distT="0" distB="0" distL="0" distR="0" wp14:anchorId="62DF55EA" wp14:editId="2CEFEF5D">
            <wp:extent cx="5943600" cy="2743200"/>
            <wp:effectExtent l="0" t="0" r="0" b="0"/>
            <wp:docPr id="10" name="platform_modul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latform_module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47616" w14:textId="77777777" w:rsidR="00770407" w:rsidRDefault="00000000">
      <w:pPr>
        <w:jc w:val="center"/>
        <w:rPr>
          <w:i/>
          <w:color w:val="666666"/>
          <w:sz w:val="16"/>
          <w:szCs w:val="16"/>
        </w:rPr>
      </w:pPr>
      <w:r>
        <w:rPr>
          <w:i/>
          <w:color w:val="666666"/>
          <w:sz w:val="16"/>
          <w:szCs w:val="16"/>
        </w:rPr>
        <w:t>AccuKnox Unified CNAPP: CSPM, CWPP, KSPM, ASPM, CDR, AI Security in one platform</w:t>
      </w:r>
    </w:p>
    <w:p w14:paraId="1C6309D4" w14:textId="77777777" w:rsidR="00770407" w:rsidRDefault="00770407">
      <w:pPr>
        <w:spacing w:before="0" w:after="80"/>
      </w:pPr>
    </w:p>
    <w:p w14:paraId="1E7CC9C8" w14:textId="77777777" w:rsidR="00770407" w:rsidRDefault="00000000">
      <w:pPr>
        <w:pStyle w:val="Heading2"/>
      </w:pPr>
      <w:r>
        <w:t>1. Cloud Security Posture Management (CSPM)</w:t>
      </w:r>
    </w:p>
    <w:p w14:paraId="3455C73D" w14:textId="77777777" w:rsidR="00770407" w:rsidRDefault="00000000">
      <w:pPr>
        <w:spacing w:after="120"/>
        <w:rPr>
          <w:sz w:val="20"/>
          <w:szCs w:val="20"/>
        </w:rPr>
      </w:pPr>
      <w:r>
        <w:rPr>
          <w:sz w:val="20"/>
          <w:szCs w:val="20"/>
        </w:rPr>
        <w:t>AccuKnox CSPM continuously monitors multi-cloud environments (AWS, Azure, GCP) to detect misconfigurations, enforce compliance, and reduce your cloud attack surface. It uses agentless technology for 360-degree visibility across all cloud assets.</w:t>
      </w:r>
    </w:p>
    <w:tbl>
      <w:tblPr>
        <w:tblStyle w:val="TableNormal0"/>
        <w:tblW w:w="9360" w:type="dxa"/>
        <w:tblInd w:w="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3120"/>
        <w:gridCol w:w="6240"/>
      </w:tblGrid>
      <w:tr w:rsidR="00770407" w14:paraId="3232AD15" w14:textId="77777777">
        <w:tc>
          <w:tcPr>
            <w:tcW w:w="3120" w:type="dxa"/>
            <w:shd w:val="clear" w:color="auto" w:fill="003BF6"/>
          </w:tcPr>
          <w:p w14:paraId="59C930DF" w14:textId="77777777" w:rsidR="00770407" w:rsidRDefault="00000000">
            <w:pPr>
              <w:rPr>
                <w:b/>
                <w:color w:val="FFFFFF"/>
                <w:sz w:val="20"/>
                <w:szCs w:val="20"/>
              </w:rPr>
            </w:pPr>
            <w:r>
              <w:rPr>
                <w:b/>
                <w:color w:val="FFFFFF"/>
                <w:sz w:val="20"/>
                <w:szCs w:val="20"/>
              </w:rPr>
              <w:t>Capability</w:t>
            </w:r>
          </w:p>
        </w:tc>
        <w:tc>
          <w:tcPr>
            <w:tcW w:w="6240" w:type="dxa"/>
            <w:shd w:val="clear" w:color="auto" w:fill="003BF6"/>
          </w:tcPr>
          <w:p w14:paraId="1664C051" w14:textId="77777777" w:rsidR="00770407" w:rsidRDefault="00000000">
            <w:pPr>
              <w:rPr>
                <w:b/>
                <w:color w:val="FFFFFF"/>
                <w:sz w:val="20"/>
                <w:szCs w:val="20"/>
              </w:rPr>
            </w:pPr>
            <w:r>
              <w:rPr>
                <w:b/>
                <w:color w:val="FFFFFF"/>
                <w:sz w:val="20"/>
                <w:szCs w:val="20"/>
              </w:rPr>
              <w:t>Details</w:t>
            </w:r>
          </w:p>
        </w:tc>
      </w:tr>
      <w:tr w:rsidR="00770407" w14:paraId="5BB06221" w14:textId="77777777">
        <w:tc>
          <w:tcPr>
            <w:tcW w:w="3120" w:type="dxa"/>
            <w:shd w:val="clear" w:color="auto" w:fill="EEF0F6"/>
          </w:tcPr>
          <w:p w14:paraId="5D26C74F" w14:textId="77777777" w:rsidR="00770407" w:rsidRDefault="00000000">
            <w:pPr>
              <w:rPr>
                <w:b/>
              </w:rPr>
            </w:pPr>
            <w:r>
              <w:rPr>
                <w:b/>
              </w:rPr>
              <w:t>Misconfiguration Detection</w:t>
            </w:r>
          </w:p>
        </w:tc>
        <w:tc>
          <w:tcPr>
            <w:tcW w:w="6240" w:type="dxa"/>
          </w:tcPr>
          <w:p w14:paraId="33B902E2" w14:textId="77777777" w:rsidR="00770407" w:rsidRDefault="00000000">
            <w:r>
              <w:t>Continuous scanning of EC2, S3, IAM, RDS, GKE and more. Flags deviations from CIS, NIST, PCI-DSS, SOC 2, HIPAA, and GDPR benchmarks.</w:t>
            </w:r>
          </w:p>
        </w:tc>
      </w:tr>
      <w:tr w:rsidR="00770407" w14:paraId="7760A285" w14:textId="77777777">
        <w:tc>
          <w:tcPr>
            <w:tcW w:w="3120" w:type="dxa"/>
            <w:shd w:val="clear" w:color="auto" w:fill="EEF0F6"/>
          </w:tcPr>
          <w:p w14:paraId="18B17783" w14:textId="77777777" w:rsidR="00770407" w:rsidRDefault="00000000">
            <w:pPr>
              <w:rPr>
                <w:b/>
              </w:rPr>
            </w:pPr>
            <w:r>
              <w:rPr>
                <w:b/>
              </w:rPr>
              <w:t>Multi-Cloud Visibility</w:t>
            </w:r>
          </w:p>
        </w:tc>
        <w:tc>
          <w:tcPr>
            <w:tcW w:w="6240" w:type="dxa"/>
          </w:tcPr>
          <w:p w14:paraId="6B42A92A" w14:textId="77777777" w:rsidR="00770407" w:rsidRDefault="00000000">
            <w:r>
              <w:t>Unified dashboard across AWS, Azure, GCP, and Kubernetes. Asset inventory, compliance mapping, and risk scoring from a single pane.</w:t>
            </w:r>
          </w:p>
        </w:tc>
      </w:tr>
      <w:tr w:rsidR="00770407" w14:paraId="3705E1F4" w14:textId="77777777">
        <w:tc>
          <w:tcPr>
            <w:tcW w:w="3120" w:type="dxa"/>
            <w:shd w:val="clear" w:color="auto" w:fill="EEF0F6"/>
          </w:tcPr>
          <w:p w14:paraId="5147C8AB" w14:textId="77777777" w:rsidR="00770407" w:rsidRDefault="00000000">
            <w:pPr>
              <w:rPr>
                <w:b/>
              </w:rPr>
            </w:pPr>
            <w:r>
              <w:rPr>
                <w:b/>
              </w:rPr>
              <w:t>Compliance Mapping</w:t>
            </w:r>
          </w:p>
        </w:tc>
        <w:tc>
          <w:tcPr>
            <w:tcW w:w="6240" w:type="dxa"/>
          </w:tcPr>
          <w:p w14:paraId="49EA27CE" w14:textId="77777777" w:rsidR="00770407" w:rsidRDefault="00000000">
            <w:r>
              <w:t>33+ compliance frameworks mapped out of the box: CIS, NIST CSF, PCI-DSS, SOC 2, HIPAA, GDPR, CMMC, FISMA, MITRE, STIG. Audit-ready reports in seconds.</w:t>
            </w:r>
          </w:p>
        </w:tc>
      </w:tr>
      <w:tr w:rsidR="00770407" w14:paraId="7AE5A176" w14:textId="77777777">
        <w:tc>
          <w:tcPr>
            <w:tcW w:w="3120" w:type="dxa"/>
            <w:shd w:val="clear" w:color="auto" w:fill="EEF0F6"/>
          </w:tcPr>
          <w:p w14:paraId="77BA187E" w14:textId="77777777" w:rsidR="00770407" w:rsidRDefault="00000000">
            <w:pPr>
              <w:rPr>
                <w:b/>
              </w:rPr>
            </w:pPr>
            <w:r>
              <w:rPr>
                <w:b/>
              </w:rPr>
              <w:t>Auto-Remediation</w:t>
            </w:r>
          </w:p>
        </w:tc>
        <w:tc>
          <w:tcPr>
            <w:tcW w:w="6240" w:type="dxa"/>
          </w:tcPr>
          <w:p w14:paraId="394A8539" w14:textId="77777777" w:rsidR="00770407" w:rsidRDefault="00000000">
            <w:r>
              <w:t>Policy-as-code guardrails (YAML/JSON). Correlated findings with severity scoring, auto-patch, ticketing, and remediation playbooks.</w:t>
            </w:r>
          </w:p>
        </w:tc>
      </w:tr>
      <w:tr w:rsidR="00770407" w14:paraId="7104F0BB" w14:textId="77777777">
        <w:tc>
          <w:tcPr>
            <w:tcW w:w="3120" w:type="dxa"/>
            <w:shd w:val="clear" w:color="auto" w:fill="EEF0F6"/>
          </w:tcPr>
          <w:p w14:paraId="56703031" w14:textId="77777777" w:rsidR="00770407" w:rsidRDefault="00000000">
            <w:pPr>
              <w:rPr>
                <w:b/>
              </w:rPr>
            </w:pPr>
            <w:r>
              <w:rPr>
                <w:b/>
              </w:rPr>
              <w:t>Zero Trust + K8s Depth</w:t>
            </w:r>
          </w:p>
        </w:tc>
        <w:tc>
          <w:tcPr>
            <w:tcW w:w="6240" w:type="dxa"/>
          </w:tcPr>
          <w:p w14:paraId="28F59940" w14:textId="77777777" w:rsidR="00770407" w:rsidRDefault="00000000">
            <w:r>
              <w:t>Least-privilege IAM enforcement with behavioral insights. Deep Kubernetes visibility across EKS, AKS, GKE, OpenShift, and Talos clusters.</w:t>
            </w:r>
          </w:p>
        </w:tc>
      </w:tr>
    </w:tbl>
    <w:p w14:paraId="659436E2" w14:textId="77777777" w:rsidR="00770407" w:rsidRDefault="00000000">
      <w:pPr>
        <w:spacing w:before="60" w:after="40"/>
        <w:rPr>
          <w:sz w:val="17"/>
          <w:szCs w:val="17"/>
        </w:rPr>
      </w:pPr>
      <w:r>
        <w:rPr>
          <w:b/>
          <w:color w:val="003BF6"/>
          <w:sz w:val="17"/>
          <w:szCs w:val="17"/>
        </w:rPr>
        <w:t xml:space="preserve">Docs: </w:t>
      </w:r>
      <w:hyperlink r:id="rId7">
        <w:r>
          <w:rPr>
            <w:rStyle w:val="Hyperlink"/>
            <w:sz w:val="17"/>
            <w:szCs w:val="17"/>
          </w:rPr>
          <w:t>CSPM Onboarding Guide</w:t>
        </w:r>
      </w:hyperlink>
      <w:r>
        <w:rPr>
          <w:sz w:val="17"/>
          <w:szCs w:val="17"/>
        </w:rPr>
        <w:t xml:space="preserve">  |  </w:t>
      </w:r>
      <w:hyperlink r:id="rId8">
        <w:r>
          <w:rPr>
            <w:rStyle w:val="Hyperlink"/>
            <w:sz w:val="17"/>
            <w:szCs w:val="17"/>
          </w:rPr>
          <w:t>CSPM Use Cases</w:t>
        </w:r>
      </w:hyperlink>
      <w:r>
        <w:rPr>
          <w:sz w:val="17"/>
          <w:szCs w:val="17"/>
        </w:rPr>
        <w:t xml:space="preserve">  |  </w:t>
      </w:r>
      <w:hyperlink r:id="rId9">
        <w:r>
          <w:rPr>
            <w:rStyle w:val="Hyperlink"/>
            <w:sz w:val="17"/>
            <w:szCs w:val="17"/>
          </w:rPr>
          <w:t>Platform Page</w:t>
        </w:r>
      </w:hyperlink>
    </w:p>
    <w:p w14:paraId="020A6D2C" w14:textId="77777777" w:rsidR="00770407" w:rsidRDefault="00000000">
      <w:pPr>
        <w:pStyle w:val="Heading2"/>
      </w:pPr>
      <w:r>
        <w:lastRenderedPageBreak/>
        <w:t>2. Cloud Detection and Response (CDR), including AI-DR</w:t>
      </w:r>
    </w:p>
    <w:p w14:paraId="650AE821" w14:textId="77777777" w:rsidR="00770407" w:rsidRDefault="00000000">
      <w:pPr>
        <w:spacing w:after="80"/>
        <w:rPr>
          <w:sz w:val="20"/>
          <w:szCs w:val="20"/>
        </w:rPr>
      </w:pPr>
      <w:r>
        <w:rPr>
          <w:sz w:val="20"/>
          <w:szCs w:val="20"/>
        </w:rPr>
        <w:t>AccuKnox CDR continuously monitors cloud environments to detect, analyze, and respond to threats in real-time. It supports AWS, Azure, and GCP with automated remediation workflows.</w:t>
      </w:r>
    </w:p>
    <w:tbl>
      <w:tblPr>
        <w:tblStyle w:val="TableNormal0"/>
        <w:tblW w:w="9360" w:type="dxa"/>
        <w:tblInd w:w="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70407" w14:paraId="5D21626B" w14:textId="77777777">
        <w:tc>
          <w:tcPr>
            <w:tcW w:w="3120" w:type="dxa"/>
            <w:shd w:val="clear" w:color="auto" w:fill="003BF6"/>
          </w:tcPr>
          <w:p w14:paraId="6E782E34" w14:textId="77777777" w:rsidR="00770407" w:rsidRDefault="00000000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Metric</w:t>
            </w:r>
          </w:p>
        </w:tc>
        <w:tc>
          <w:tcPr>
            <w:tcW w:w="3120" w:type="dxa"/>
            <w:shd w:val="clear" w:color="auto" w:fill="003BF6"/>
          </w:tcPr>
          <w:p w14:paraId="1391672C" w14:textId="77777777" w:rsidR="00770407" w:rsidRDefault="00000000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AccuKnox CDR</w:t>
            </w:r>
          </w:p>
        </w:tc>
        <w:tc>
          <w:tcPr>
            <w:tcW w:w="3120" w:type="dxa"/>
            <w:shd w:val="clear" w:color="auto" w:fill="003BF6"/>
          </w:tcPr>
          <w:p w14:paraId="4C2FB436" w14:textId="77777777" w:rsidR="00770407" w:rsidRDefault="00000000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Traditional Solutions</w:t>
            </w:r>
          </w:p>
        </w:tc>
      </w:tr>
      <w:tr w:rsidR="00770407" w14:paraId="6DBEB10D" w14:textId="77777777">
        <w:tc>
          <w:tcPr>
            <w:tcW w:w="3120" w:type="dxa"/>
            <w:shd w:val="clear" w:color="auto" w:fill="EEF0F6"/>
          </w:tcPr>
          <w:p w14:paraId="64C984CD" w14:textId="77777777" w:rsidR="00770407" w:rsidRDefault="00000000">
            <w:pPr>
              <w:rPr>
                <w:b/>
              </w:rPr>
            </w:pPr>
            <w:r>
              <w:rPr>
                <w:b/>
              </w:rPr>
              <w:t>Response Time</w:t>
            </w:r>
          </w:p>
        </w:tc>
        <w:tc>
          <w:tcPr>
            <w:tcW w:w="3120" w:type="dxa"/>
            <w:shd w:val="clear" w:color="auto" w:fill="E7F6EE"/>
          </w:tcPr>
          <w:p w14:paraId="21F895D3" w14:textId="77777777" w:rsidR="00770407" w:rsidRDefault="00000000">
            <w:pPr>
              <w:jc w:val="center"/>
              <w:rPr>
                <w:b/>
                <w:color w:val="16A55C"/>
              </w:rPr>
            </w:pPr>
            <w:r>
              <w:rPr>
                <w:b/>
                <w:color w:val="16A55C"/>
              </w:rPr>
              <w:t>&lt; 30 seconds</w:t>
            </w:r>
          </w:p>
        </w:tc>
        <w:tc>
          <w:tcPr>
            <w:tcW w:w="3120" w:type="dxa"/>
          </w:tcPr>
          <w:p w14:paraId="589881F6" w14:textId="77777777" w:rsidR="00770407" w:rsidRDefault="00000000">
            <w:pPr>
              <w:jc w:val="center"/>
              <w:rPr>
                <w:color w:val="C80019"/>
              </w:rPr>
            </w:pPr>
            <w:r>
              <w:rPr>
                <w:color w:val="C80019"/>
              </w:rPr>
              <w:t>Hours to Days</w:t>
            </w:r>
          </w:p>
        </w:tc>
      </w:tr>
      <w:tr w:rsidR="00770407" w14:paraId="65D6EFEB" w14:textId="77777777">
        <w:tc>
          <w:tcPr>
            <w:tcW w:w="3120" w:type="dxa"/>
            <w:shd w:val="clear" w:color="auto" w:fill="EEF0F6"/>
          </w:tcPr>
          <w:p w14:paraId="479B3523" w14:textId="77777777" w:rsidR="00770407" w:rsidRDefault="00000000">
            <w:pPr>
              <w:rPr>
                <w:b/>
              </w:rPr>
            </w:pPr>
            <w:r>
              <w:rPr>
                <w:b/>
              </w:rPr>
              <w:t>False Positive Rate</w:t>
            </w:r>
          </w:p>
        </w:tc>
        <w:tc>
          <w:tcPr>
            <w:tcW w:w="3120" w:type="dxa"/>
            <w:shd w:val="clear" w:color="auto" w:fill="E7F6EE"/>
          </w:tcPr>
          <w:p w14:paraId="28524B78" w14:textId="77777777" w:rsidR="00770407" w:rsidRDefault="00000000">
            <w:pPr>
              <w:jc w:val="center"/>
              <w:rPr>
                <w:b/>
                <w:color w:val="16A55C"/>
              </w:rPr>
            </w:pPr>
            <w:r>
              <w:rPr>
                <w:b/>
                <w:color w:val="16A55C"/>
              </w:rPr>
              <w:t>5%</w:t>
            </w:r>
          </w:p>
        </w:tc>
        <w:tc>
          <w:tcPr>
            <w:tcW w:w="3120" w:type="dxa"/>
          </w:tcPr>
          <w:p w14:paraId="78260691" w14:textId="77777777" w:rsidR="00770407" w:rsidRDefault="00000000">
            <w:pPr>
              <w:jc w:val="center"/>
              <w:rPr>
                <w:color w:val="C80019"/>
              </w:rPr>
            </w:pPr>
            <w:r>
              <w:rPr>
                <w:color w:val="C80019"/>
              </w:rPr>
              <w:t>60%+</w:t>
            </w:r>
          </w:p>
        </w:tc>
      </w:tr>
      <w:tr w:rsidR="00770407" w14:paraId="53767148" w14:textId="77777777">
        <w:tc>
          <w:tcPr>
            <w:tcW w:w="3120" w:type="dxa"/>
            <w:shd w:val="clear" w:color="auto" w:fill="EEF0F6"/>
          </w:tcPr>
          <w:p w14:paraId="01BF0555" w14:textId="77777777" w:rsidR="00770407" w:rsidRDefault="00000000">
            <w:pPr>
              <w:rPr>
                <w:b/>
              </w:rPr>
            </w:pPr>
            <w:r>
              <w:rPr>
                <w:b/>
              </w:rPr>
              <w:t>Detection Rate</w:t>
            </w:r>
          </w:p>
        </w:tc>
        <w:tc>
          <w:tcPr>
            <w:tcW w:w="3120" w:type="dxa"/>
            <w:shd w:val="clear" w:color="auto" w:fill="E7F6EE"/>
          </w:tcPr>
          <w:p w14:paraId="183C4421" w14:textId="77777777" w:rsidR="00770407" w:rsidRDefault="00000000">
            <w:pPr>
              <w:jc w:val="center"/>
              <w:rPr>
                <w:b/>
                <w:color w:val="16A55C"/>
              </w:rPr>
            </w:pPr>
            <w:r>
              <w:rPr>
                <w:b/>
                <w:color w:val="16A55C"/>
              </w:rPr>
              <w:t>99.9%</w:t>
            </w:r>
          </w:p>
        </w:tc>
        <w:tc>
          <w:tcPr>
            <w:tcW w:w="3120" w:type="dxa"/>
          </w:tcPr>
          <w:p w14:paraId="5B0E6CF2" w14:textId="77777777" w:rsidR="00770407" w:rsidRDefault="00000000">
            <w:pPr>
              <w:jc w:val="center"/>
              <w:rPr>
                <w:color w:val="C80019"/>
              </w:rPr>
            </w:pPr>
            <w:r>
              <w:rPr>
                <w:color w:val="C80019"/>
              </w:rPr>
              <w:t>85%</w:t>
            </w:r>
          </w:p>
        </w:tc>
      </w:tr>
      <w:tr w:rsidR="00770407" w14:paraId="33F87D22" w14:textId="77777777">
        <w:tc>
          <w:tcPr>
            <w:tcW w:w="3120" w:type="dxa"/>
            <w:shd w:val="clear" w:color="auto" w:fill="EEF0F6"/>
          </w:tcPr>
          <w:p w14:paraId="01E4AA2E" w14:textId="77777777" w:rsidR="00770407" w:rsidRDefault="00000000">
            <w:pPr>
              <w:rPr>
                <w:b/>
              </w:rPr>
            </w:pPr>
            <w:r>
              <w:rPr>
                <w:b/>
              </w:rPr>
              <w:t>Setup Time</w:t>
            </w:r>
          </w:p>
        </w:tc>
        <w:tc>
          <w:tcPr>
            <w:tcW w:w="3120" w:type="dxa"/>
            <w:shd w:val="clear" w:color="auto" w:fill="E7F6EE"/>
          </w:tcPr>
          <w:p w14:paraId="3C616414" w14:textId="77777777" w:rsidR="00770407" w:rsidRDefault="00000000">
            <w:pPr>
              <w:jc w:val="center"/>
              <w:rPr>
                <w:b/>
                <w:color w:val="16A55C"/>
              </w:rPr>
            </w:pPr>
            <w:r>
              <w:rPr>
                <w:b/>
                <w:color w:val="16A55C"/>
              </w:rPr>
              <w:t>Minutes</w:t>
            </w:r>
          </w:p>
        </w:tc>
        <w:tc>
          <w:tcPr>
            <w:tcW w:w="3120" w:type="dxa"/>
          </w:tcPr>
          <w:p w14:paraId="7F49240A" w14:textId="77777777" w:rsidR="00770407" w:rsidRDefault="00000000">
            <w:pPr>
              <w:jc w:val="center"/>
              <w:rPr>
                <w:color w:val="C80019"/>
              </w:rPr>
            </w:pPr>
            <w:r>
              <w:rPr>
                <w:color w:val="C80019"/>
              </w:rPr>
              <w:t>Weeks</w:t>
            </w:r>
          </w:p>
        </w:tc>
      </w:tr>
    </w:tbl>
    <w:p w14:paraId="5EE55199" w14:textId="77777777" w:rsidR="00770407" w:rsidRDefault="00000000">
      <w:pPr>
        <w:spacing w:before="80" w:after="60"/>
        <w:rPr>
          <w:sz w:val="20"/>
          <w:szCs w:val="20"/>
        </w:rPr>
      </w:pPr>
      <w:r>
        <w:rPr>
          <w:sz w:val="20"/>
          <w:szCs w:val="20"/>
        </w:rPr>
        <w:t>CDR follows a 5-step workflow: Detect (ingest cloud logs and threat intelligence), Analyze (discover malicious activity or baseline drift), Alert (integrated notification), Investigate (multi-cloud forensics), and Remediate (automated workflows with recommendations).</w:t>
      </w:r>
    </w:p>
    <w:p w14:paraId="1E784907" w14:textId="52D62E2B" w:rsidR="00770407" w:rsidRDefault="00A7360B">
      <w:pPr>
        <w:jc w:val="center"/>
      </w:pPr>
      <w:r>
        <w:rPr>
          <w:noProof/>
        </w:rPr>
        <w:drawing>
          <wp:inline distT="0" distB="0" distL="0" distR="0" wp14:anchorId="38B70120" wp14:editId="6CAF87DF">
            <wp:extent cx="5943600" cy="3397885"/>
            <wp:effectExtent l="0" t="0" r="0" b="0"/>
            <wp:docPr id="1289318670" name="Picture 1" descr="CDR architecture overview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DR architecture overview diagram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97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966158" w14:textId="77777777" w:rsidR="00770407" w:rsidRDefault="00000000">
      <w:pPr>
        <w:jc w:val="center"/>
        <w:rPr>
          <w:i/>
          <w:color w:val="666666"/>
          <w:sz w:val="16"/>
          <w:szCs w:val="16"/>
        </w:rPr>
      </w:pPr>
      <w:r>
        <w:rPr>
          <w:i/>
          <w:color w:val="666666"/>
          <w:sz w:val="16"/>
          <w:szCs w:val="16"/>
        </w:rPr>
        <w:t>AccuKnox CDR Architecture: Multi-cloud event collection, SIEM-based detection, automated remediation</w:t>
      </w:r>
    </w:p>
    <w:p w14:paraId="2F21319B" w14:textId="77777777" w:rsidR="00770407" w:rsidRDefault="00000000">
      <w:pPr>
        <w:pStyle w:val="Heading3"/>
      </w:pPr>
      <w:r>
        <w:t>AI Detection and Response (AI-DR)</w:t>
      </w:r>
    </w:p>
    <w:p w14:paraId="2778C979" w14:textId="77777777" w:rsidR="00770407" w:rsidRDefault="00000000">
      <w:pPr>
        <w:spacing w:after="80"/>
        <w:rPr>
          <w:sz w:val="20"/>
          <w:szCs w:val="20"/>
        </w:rPr>
      </w:pPr>
      <w:r>
        <w:rPr>
          <w:sz w:val="20"/>
          <w:szCs w:val="20"/>
        </w:rPr>
        <w:t>AI-DR extends CDR to AI/ML workloads. It monitors AI control-plane activity across SageMaker, Bedrock, Azure ML, and OpenAI, detecting unauthorized model customizations, insecure notebook configurations, and irreversible resource deletions. Key capabilities include policy-based detection for AI operations, automated remediation via GitHub Actions, and governance audit trails for every AI configuration change.</w:t>
      </w:r>
    </w:p>
    <w:p w14:paraId="5FD5E958" w14:textId="77777777" w:rsidR="00770407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9453EF3" wp14:editId="508CCEC3">
            <wp:extent cx="5943600" cy="2682240"/>
            <wp:effectExtent l="0" t="0" r="0" b="0"/>
            <wp:docPr id="13" name="ai_dr_work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ai_dr_work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5AC43" w14:textId="77777777" w:rsidR="00770407" w:rsidRDefault="00000000">
      <w:pPr>
        <w:jc w:val="center"/>
        <w:rPr>
          <w:i/>
          <w:color w:val="666666"/>
          <w:sz w:val="16"/>
          <w:szCs w:val="16"/>
        </w:rPr>
      </w:pPr>
      <w:r>
        <w:rPr>
          <w:i/>
          <w:color w:val="666666"/>
          <w:sz w:val="16"/>
          <w:szCs w:val="16"/>
        </w:rPr>
        <w:t>AI-DR Real-Time Threat Detection and Prevention Workflow</w:t>
      </w:r>
    </w:p>
    <w:p w14:paraId="538E5144" w14:textId="77777777" w:rsidR="00770407" w:rsidRDefault="00000000">
      <w:pPr>
        <w:spacing w:before="60" w:after="40"/>
        <w:rPr>
          <w:sz w:val="17"/>
          <w:szCs w:val="17"/>
        </w:rPr>
      </w:pPr>
      <w:r>
        <w:rPr>
          <w:b/>
          <w:color w:val="003BF6"/>
          <w:sz w:val="17"/>
          <w:szCs w:val="17"/>
        </w:rPr>
        <w:t xml:space="preserve">Docs: </w:t>
      </w:r>
      <w:hyperlink r:id="rId12">
        <w:r>
          <w:rPr>
            <w:rStyle w:val="Hyperlink"/>
            <w:sz w:val="17"/>
            <w:szCs w:val="17"/>
          </w:rPr>
          <w:t>CDR Onboarding (AWS)</w:t>
        </w:r>
      </w:hyperlink>
      <w:r>
        <w:rPr>
          <w:sz w:val="17"/>
          <w:szCs w:val="17"/>
        </w:rPr>
        <w:t xml:space="preserve">  |  </w:t>
      </w:r>
      <w:hyperlink r:id="rId13">
        <w:r>
          <w:rPr>
            <w:rStyle w:val="Hyperlink"/>
            <w:sz w:val="17"/>
            <w:szCs w:val="17"/>
          </w:rPr>
          <w:t>CDR Use Cases</w:t>
        </w:r>
      </w:hyperlink>
      <w:r>
        <w:rPr>
          <w:sz w:val="17"/>
          <w:szCs w:val="17"/>
        </w:rPr>
        <w:t xml:space="preserve">  |  </w:t>
      </w:r>
      <w:hyperlink r:id="rId14">
        <w:r>
          <w:rPr>
            <w:rStyle w:val="Hyperlink"/>
            <w:sz w:val="17"/>
            <w:szCs w:val="17"/>
          </w:rPr>
          <w:t>AI-DR Use Cases</w:t>
        </w:r>
      </w:hyperlink>
      <w:r>
        <w:rPr>
          <w:sz w:val="17"/>
          <w:szCs w:val="17"/>
        </w:rPr>
        <w:t xml:space="preserve">  |  </w:t>
      </w:r>
      <w:hyperlink r:id="rId15">
        <w:r>
          <w:rPr>
            <w:rStyle w:val="Hyperlink"/>
            <w:sz w:val="17"/>
            <w:szCs w:val="17"/>
          </w:rPr>
          <w:t>AI-DR Platform Page</w:t>
        </w:r>
      </w:hyperlink>
    </w:p>
    <w:p w14:paraId="15D0901F" w14:textId="77777777" w:rsidR="00770407" w:rsidRDefault="00000000">
      <w:pPr>
        <w:pStyle w:val="Heading2"/>
      </w:pPr>
      <w:r>
        <w:t>3. AI Security (AI-SPM)</w:t>
      </w:r>
    </w:p>
    <w:p w14:paraId="7D35B6BF" w14:textId="77777777" w:rsidR="00770407" w:rsidRDefault="00000000">
      <w:pPr>
        <w:spacing w:after="80"/>
        <w:rPr>
          <w:sz w:val="20"/>
          <w:szCs w:val="20"/>
        </w:rPr>
      </w:pPr>
      <w:r>
        <w:rPr>
          <w:sz w:val="20"/>
          <w:szCs w:val="20"/>
        </w:rPr>
        <w:t>AccuKnox delivers a full-spectrum AI security platform covering posture management, runtime defense, red teaming, and compliance. It protects AI models, agents, datasets, and pipelines across multi-cloud environments with both SaaS and on-prem deployment options.</w:t>
      </w:r>
    </w:p>
    <w:p w14:paraId="10B0B427" w14:textId="77777777" w:rsidR="00770407" w:rsidRDefault="00000000">
      <w:pPr>
        <w:jc w:val="center"/>
      </w:pPr>
      <w:r>
        <w:rPr>
          <w:noProof/>
        </w:rPr>
        <w:drawing>
          <wp:inline distT="0" distB="0" distL="0" distR="0" wp14:anchorId="44E4EA8D" wp14:editId="1D0709A7">
            <wp:extent cx="5943600" cy="2891790"/>
            <wp:effectExtent l="0" t="0" r="0" b="0"/>
            <wp:docPr id="12" name="ai_security_platfor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ai_security_platform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BEBE5" w14:textId="77777777" w:rsidR="00770407" w:rsidRDefault="00000000">
      <w:pPr>
        <w:jc w:val="center"/>
        <w:rPr>
          <w:i/>
          <w:color w:val="666666"/>
          <w:sz w:val="16"/>
          <w:szCs w:val="16"/>
        </w:rPr>
      </w:pPr>
      <w:r>
        <w:rPr>
          <w:i/>
          <w:color w:val="666666"/>
          <w:sz w:val="16"/>
          <w:szCs w:val="16"/>
        </w:rPr>
        <w:t>AccuKnox Agentic AI Security Platform: Inventory, Red Teaming, Prompt Firewall, Sandboxing, Compliance</w:t>
      </w:r>
    </w:p>
    <w:tbl>
      <w:tblPr>
        <w:tblStyle w:val="TableNormal0"/>
        <w:tblW w:w="9360" w:type="dxa"/>
        <w:tblInd w:w="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2340"/>
        <w:gridCol w:w="7020"/>
      </w:tblGrid>
      <w:tr w:rsidR="00770407" w14:paraId="436927AF" w14:textId="77777777">
        <w:tc>
          <w:tcPr>
            <w:tcW w:w="2340" w:type="dxa"/>
            <w:shd w:val="clear" w:color="auto" w:fill="003BF6"/>
          </w:tcPr>
          <w:p w14:paraId="0C95A515" w14:textId="77777777" w:rsidR="00770407" w:rsidRDefault="00000000"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Module</w:t>
            </w:r>
          </w:p>
        </w:tc>
        <w:tc>
          <w:tcPr>
            <w:tcW w:w="7020" w:type="dxa"/>
            <w:shd w:val="clear" w:color="auto" w:fill="003BF6"/>
          </w:tcPr>
          <w:p w14:paraId="63EAD7E4" w14:textId="77777777" w:rsidR="00770407" w:rsidRDefault="00000000"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What It Does</w:t>
            </w:r>
          </w:p>
        </w:tc>
      </w:tr>
      <w:tr w:rsidR="00770407" w14:paraId="46CEF7A3" w14:textId="77777777">
        <w:tc>
          <w:tcPr>
            <w:tcW w:w="2340" w:type="dxa"/>
            <w:shd w:val="clear" w:color="auto" w:fill="EEF0F6"/>
          </w:tcPr>
          <w:p w14:paraId="342446F5" w14:textId="77777777" w:rsidR="00770407" w:rsidRDefault="00000000">
            <w:pPr>
              <w:rPr>
                <w:b/>
              </w:rPr>
            </w:pPr>
            <w:r>
              <w:rPr>
                <w:b/>
              </w:rPr>
              <w:t>Prompt Firewall</w:t>
            </w:r>
          </w:p>
        </w:tc>
        <w:tc>
          <w:tcPr>
            <w:tcW w:w="7020" w:type="dxa"/>
          </w:tcPr>
          <w:p w14:paraId="6EC2EB6F" w14:textId="77777777" w:rsidR="00770407" w:rsidRDefault="00000000">
            <w:r>
              <w:t>Real-time blocking of prompt injections, jailbreaks, PII leaks, and toxic outputs. 10+ policy types: anonymization, toxicity, competitor mentions, code filtering, secrets detection.</w:t>
            </w:r>
          </w:p>
        </w:tc>
      </w:tr>
      <w:tr w:rsidR="00770407" w14:paraId="429BCA5D" w14:textId="77777777">
        <w:tc>
          <w:tcPr>
            <w:tcW w:w="2340" w:type="dxa"/>
            <w:shd w:val="clear" w:color="auto" w:fill="EEF0F6"/>
          </w:tcPr>
          <w:p w14:paraId="0CFEFADD" w14:textId="77777777" w:rsidR="00770407" w:rsidRDefault="00000000">
            <w:pPr>
              <w:rPr>
                <w:b/>
              </w:rPr>
            </w:pPr>
            <w:r>
              <w:rPr>
                <w:b/>
              </w:rPr>
              <w:t>AI Red Teaming</w:t>
            </w:r>
          </w:p>
        </w:tc>
        <w:tc>
          <w:tcPr>
            <w:tcW w:w="7020" w:type="dxa"/>
          </w:tcPr>
          <w:p w14:paraId="2CEAB12D" w14:textId="77777777" w:rsidR="00770407" w:rsidRDefault="00000000">
            <w:r>
              <w:t xml:space="preserve">Automated adversarial testing for code injection, hallucination, prompt </w:t>
            </w:r>
            <w:r>
              <w:lastRenderedPageBreak/>
              <w:t>leakage, bias</w:t>
            </w:r>
            <w:proofErr w:type="gramStart"/>
            <w:r>
              <w:t>, toxicity</w:t>
            </w:r>
            <w:proofErr w:type="gramEnd"/>
            <w:r>
              <w:t>. Per-model risk scoring across four attack categories.</w:t>
            </w:r>
          </w:p>
        </w:tc>
      </w:tr>
      <w:tr w:rsidR="00770407" w14:paraId="781E0D05" w14:textId="77777777">
        <w:tc>
          <w:tcPr>
            <w:tcW w:w="2340" w:type="dxa"/>
            <w:shd w:val="clear" w:color="auto" w:fill="EEF0F6"/>
          </w:tcPr>
          <w:p w14:paraId="6DAF2268" w14:textId="77777777" w:rsidR="00770407" w:rsidRDefault="00000000">
            <w:pPr>
              <w:rPr>
                <w:b/>
              </w:rPr>
            </w:pPr>
            <w:r>
              <w:rPr>
                <w:b/>
              </w:rPr>
              <w:lastRenderedPageBreak/>
              <w:t>Agent Sandboxing</w:t>
            </w:r>
          </w:p>
        </w:tc>
        <w:tc>
          <w:tcPr>
            <w:tcW w:w="7020" w:type="dxa"/>
          </w:tcPr>
          <w:p w14:paraId="72C7DAB3" w14:textId="77777777" w:rsidR="00770407" w:rsidRDefault="00000000">
            <w:r>
              <w:t>KubeArmor runtime sandboxing for AI agents: process, filesystem, credential, and network isolation at K8s workload level via zero-trust YAML policies.</w:t>
            </w:r>
          </w:p>
        </w:tc>
      </w:tr>
      <w:tr w:rsidR="00770407" w14:paraId="7BC44C99" w14:textId="77777777">
        <w:tc>
          <w:tcPr>
            <w:tcW w:w="2340" w:type="dxa"/>
            <w:shd w:val="clear" w:color="auto" w:fill="EEF0F6"/>
          </w:tcPr>
          <w:p w14:paraId="33E66CBB" w14:textId="77777777" w:rsidR="00770407" w:rsidRDefault="00000000">
            <w:pPr>
              <w:rPr>
                <w:b/>
              </w:rPr>
            </w:pPr>
            <w:r>
              <w:rPr>
                <w:b/>
              </w:rPr>
              <w:t>Shadow AI Discovery</w:t>
            </w:r>
          </w:p>
        </w:tc>
        <w:tc>
          <w:tcPr>
            <w:tcW w:w="7020" w:type="dxa"/>
          </w:tcPr>
          <w:p w14:paraId="29E61BC6" w14:textId="77777777" w:rsidR="00770407" w:rsidRDefault="00000000">
            <w:r>
              <w:t>Discovers unmanaged AI agents, gateways, inference engines, SDKs, and MCP servers. Full asset inventory with lineage mapping across Azure AI Foundry, Copilot Studio, and AWS Bedrock.</w:t>
            </w:r>
          </w:p>
        </w:tc>
      </w:tr>
      <w:tr w:rsidR="00770407" w14:paraId="56208537" w14:textId="77777777">
        <w:tc>
          <w:tcPr>
            <w:tcW w:w="2340" w:type="dxa"/>
            <w:shd w:val="clear" w:color="auto" w:fill="EEF0F6"/>
          </w:tcPr>
          <w:p w14:paraId="34BB8956" w14:textId="77777777" w:rsidR="00770407" w:rsidRDefault="00000000">
            <w:pPr>
              <w:rPr>
                <w:b/>
              </w:rPr>
            </w:pPr>
            <w:r>
              <w:rPr>
                <w:b/>
              </w:rPr>
              <w:t>AI Compliance</w:t>
            </w:r>
          </w:p>
        </w:tc>
        <w:tc>
          <w:tcPr>
            <w:tcW w:w="7020" w:type="dxa"/>
          </w:tcPr>
          <w:p w14:paraId="1990768C" w14:textId="77777777" w:rsidR="00770407" w:rsidRDefault="00000000">
            <w:r>
              <w:t>12 active frameworks: OWASP Top 10 for LLMs, MITRE ATLAS, NIST 800-171, HIPAA, ISO 27001, SOC 2, PCI, RBI CSF, HITRUST CSF, GDPR, ISO 27017, NIST SP 800-53.</w:t>
            </w:r>
          </w:p>
        </w:tc>
      </w:tr>
    </w:tbl>
    <w:p w14:paraId="38A37D33" w14:textId="77777777" w:rsidR="00770407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320A0AC2" wp14:editId="464B8C11">
            <wp:extent cx="5943600" cy="3657600"/>
            <wp:effectExtent l="0" t="0" r="0" b="0"/>
            <wp:docPr id="15" name="ai_stack_rank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ai_stack_ranking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6EEC8" w14:textId="77777777" w:rsidR="00770407" w:rsidRDefault="00000000">
      <w:pPr>
        <w:jc w:val="center"/>
        <w:rPr>
          <w:i/>
          <w:color w:val="666666"/>
          <w:sz w:val="16"/>
          <w:szCs w:val="16"/>
        </w:rPr>
      </w:pPr>
      <w:r>
        <w:rPr>
          <w:i/>
          <w:color w:val="666666"/>
          <w:sz w:val="16"/>
          <w:szCs w:val="16"/>
        </w:rPr>
        <w:t>AccuKnox AI Security Competitive Stack Ranking</w:t>
      </w:r>
    </w:p>
    <w:p w14:paraId="6C036604" w14:textId="77777777" w:rsidR="00770407" w:rsidRDefault="00000000">
      <w:pPr>
        <w:spacing w:before="60" w:after="40"/>
        <w:rPr>
          <w:sz w:val="17"/>
          <w:szCs w:val="17"/>
        </w:rPr>
      </w:pPr>
      <w:r>
        <w:rPr>
          <w:b/>
          <w:color w:val="003BF6"/>
          <w:sz w:val="17"/>
          <w:szCs w:val="17"/>
        </w:rPr>
        <w:t xml:space="preserve">Docs: </w:t>
      </w:r>
      <w:hyperlink r:id="rId18">
        <w:r>
          <w:rPr>
            <w:rStyle w:val="Hyperlink"/>
            <w:sz w:val="17"/>
            <w:szCs w:val="17"/>
          </w:rPr>
          <w:t>AI/ML Security Overview</w:t>
        </w:r>
      </w:hyperlink>
      <w:r>
        <w:rPr>
          <w:sz w:val="17"/>
          <w:szCs w:val="17"/>
        </w:rPr>
        <w:t xml:space="preserve">  |  </w:t>
      </w:r>
      <w:hyperlink r:id="rId19">
        <w:r>
          <w:rPr>
            <w:rStyle w:val="Hyperlink"/>
            <w:sz w:val="17"/>
            <w:szCs w:val="17"/>
          </w:rPr>
          <w:t>Prompt Firewall</w:t>
        </w:r>
      </w:hyperlink>
      <w:r>
        <w:rPr>
          <w:sz w:val="17"/>
          <w:szCs w:val="17"/>
        </w:rPr>
        <w:t xml:space="preserve">  |  </w:t>
      </w:r>
      <w:hyperlink r:id="rId20">
        <w:r>
          <w:rPr>
            <w:rStyle w:val="Hyperlink"/>
            <w:sz w:val="17"/>
            <w:szCs w:val="17"/>
          </w:rPr>
          <w:t>AI Security Platform Page</w:t>
        </w:r>
      </w:hyperlink>
    </w:p>
    <w:p w14:paraId="596D8EEE" w14:textId="77777777" w:rsidR="00770407" w:rsidRDefault="00000000">
      <w:pPr>
        <w:pStyle w:val="Heading2"/>
      </w:pPr>
      <w:r>
        <w:t>4. Data Security Posture Management (DSPM) Roadmap</w:t>
      </w:r>
    </w:p>
    <w:p w14:paraId="5B111474" w14:textId="77777777" w:rsidR="00770407" w:rsidRDefault="00000000">
      <w:pPr>
        <w:spacing w:after="80"/>
        <w:rPr>
          <w:sz w:val="20"/>
          <w:szCs w:val="20"/>
        </w:rPr>
      </w:pPr>
      <w:r>
        <w:rPr>
          <w:sz w:val="20"/>
          <w:szCs w:val="20"/>
        </w:rPr>
        <w:t>AccuKnox DSPM is an AI-powered solution to discover, classify, and protect sensitive data across public, private, and hybrid clouds. It deploys agentlessly in 15 minutes with 99.8% classification accuracy across 50+ sensitive data types.</w:t>
      </w:r>
    </w:p>
    <w:tbl>
      <w:tblPr>
        <w:tblStyle w:val="TableNormal0"/>
        <w:tblW w:w="9360" w:type="dxa"/>
        <w:tblInd w:w="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770407" w14:paraId="7791BD68" w14:textId="77777777">
        <w:tc>
          <w:tcPr>
            <w:tcW w:w="2340" w:type="dxa"/>
            <w:shd w:val="clear" w:color="auto" w:fill="003BF6"/>
          </w:tcPr>
          <w:p w14:paraId="394A97BC" w14:textId="77777777" w:rsidR="00770407" w:rsidRDefault="00000000">
            <w:pPr>
              <w:jc w:val="center"/>
              <w:rPr>
                <w:b/>
                <w:color w:val="FFFFFF"/>
                <w:sz w:val="20"/>
                <w:szCs w:val="20"/>
              </w:rPr>
            </w:pPr>
            <w:r>
              <w:rPr>
                <w:b/>
                <w:color w:val="FFFFFF"/>
                <w:sz w:val="28"/>
                <w:szCs w:val="28"/>
              </w:rPr>
              <w:t>85%</w:t>
            </w:r>
          </w:p>
          <w:p w14:paraId="7DABC8DB" w14:textId="77777777" w:rsidR="00770407" w:rsidRDefault="00000000">
            <w:pPr>
              <w:jc w:val="center"/>
              <w:rPr>
                <w:color w:val="FFFFFF"/>
                <w:sz w:val="14"/>
                <w:szCs w:val="14"/>
              </w:rPr>
            </w:pPr>
            <w:r>
              <w:rPr>
                <w:color w:val="FFFFFF"/>
                <w:sz w:val="14"/>
                <w:szCs w:val="14"/>
              </w:rPr>
              <w:t>of orgs don’t know where sensitive data lives</w:t>
            </w:r>
          </w:p>
        </w:tc>
        <w:tc>
          <w:tcPr>
            <w:tcW w:w="2340" w:type="dxa"/>
            <w:shd w:val="clear" w:color="auto" w:fill="003BF6"/>
          </w:tcPr>
          <w:p w14:paraId="4245774A" w14:textId="77777777" w:rsidR="00770407" w:rsidRDefault="00000000">
            <w:pPr>
              <w:jc w:val="center"/>
              <w:rPr>
                <w:b/>
                <w:color w:val="FFFFFF"/>
                <w:sz w:val="20"/>
                <w:szCs w:val="20"/>
              </w:rPr>
            </w:pPr>
            <w:r>
              <w:rPr>
                <w:b/>
                <w:color w:val="FFFFFF"/>
                <w:sz w:val="28"/>
                <w:szCs w:val="28"/>
              </w:rPr>
              <w:t>73%</w:t>
            </w:r>
          </w:p>
          <w:p w14:paraId="7DFE23ED" w14:textId="77777777" w:rsidR="00770407" w:rsidRDefault="00000000">
            <w:pPr>
              <w:jc w:val="center"/>
              <w:rPr>
                <w:color w:val="FFFFFF"/>
                <w:sz w:val="14"/>
                <w:szCs w:val="14"/>
              </w:rPr>
            </w:pPr>
            <w:r>
              <w:rPr>
                <w:color w:val="FFFFFF"/>
                <w:sz w:val="14"/>
                <w:szCs w:val="14"/>
              </w:rPr>
              <w:t>breached from misconfigured storage</w:t>
            </w:r>
          </w:p>
        </w:tc>
        <w:tc>
          <w:tcPr>
            <w:tcW w:w="2340" w:type="dxa"/>
            <w:shd w:val="clear" w:color="auto" w:fill="003BF6"/>
          </w:tcPr>
          <w:p w14:paraId="19B53755" w14:textId="77777777" w:rsidR="00770407" w:rsidRDefault="00000000">
            <w:pPr>
              <w:jc w:val="center"/>
              <w:rPr>
                <w:b/>
                <w:color w:val="FFFFFF"/>
                <w:sz w:val="20"/>
                <w:szCs w:val="20"/>
              </w:rPr>
            </w:pPr>
            <w:r>
              <w:rPr>
                <w:b/>
                <w:color w:val="FFFFFF"/>
                <w:sz w:val="28"/>
                <w:szCs w:val="28"/>
              </w:rPr>
              <w:t>92%</w:t>
            </w:r>
          </w:p>
          <w:p w14:paraId="581871A6" w14:textId="77777777" w:rsidR="00770407" w:rsidRDefault="00000000">
            <w:pPr>
              <w:jc w:val="center"/>
              <w:rPr>
                <w:color w:val="FFFFFF"/>
                <w:sz w:val="14"/>
                <w:szCs w:val="14"/>
              </w:rPr>
            </w:pPr>
            <w:r>
              <w:rPr>
                <w:color w:val="FFFFFF"/>
                <w:sz w:val="14"/>
                <w:szCs w:val="14"/>
              </w:rPr>
              <w:t>struggle with manual classification</w:t>
            </w:r>
          </w:p>
        </w:tc>
        <w:tc>
          <w:tcPr>
            <w:tcW w:w="2340" w:type="dxa"/>
            <w:shd w:val="clear" w:color="auto" w:fill="003BF6"/>
          </w:tcPr>
          <w:p w14:paraId="3CCCC8DE" w14:textId="77777777" w:rsidR="00770407" w:rsidRDefault="00000000">
            <w:pPr>
              <w:jc w:val="center"/>
              <w:rPr>
                <w:b/>
                <w:color w:val="FFFFFF"/>
                <w:sz w:val="20"/>
                <w:szCs w:val="20"/>
              </w:rPr>
            </w:pPr>
            <w:r>
              <w:rPr>
                <w:b/>
                <w:color w:val="FFFFFF"/>
                <w:sz w:val="28"/>
                <w:szCs w:val="28"/>
              </w:rPr>
              <w:t>$10.22M</w:t>
            </w:r>
          </w:p>
          <w:p w14:paraId="1742C524" w14:textId="77777777" w:rsidR="00770407" w:rsidRDefault="00000000">
            <w:pPr>
              <w:jc w:val="center"/>
              <w:rPr>
                <w:color w:val="FFFFFF"/>
                <w:sz w:val="14"/>
                <w:szCs w:val="14"/>
              </w:rPr>
            </w:pPr>
            <w:r>
              <w:rPr>
                <w:color w:val="FFFFFF"/>
                <w:sz w:val="14"/>
                <w:szCs w:val="14"/>
              </w:rPr>
              <w:t>avg. cost of a data breach (2025)</w:t>
            </w:r>
          </w:p>
        </w:tc>
      </w:tr>
    </w:tbl>
    <w:p w14:paraId="2D1C3BFD" w14:textId="77777777" w:rsidR="00770407" w:rsidRDefault="00000000">
      <w:pPr>
        <w:spacing w:before="100" w:after="80"/>
        <w:rPr>
          <w:sz w:val="20"/>
          <w:szCs w:val="20"/>
        </w:rPr>
      </w:pPr>
      <w:r>
        <w:rPr>
          <w:sz w:val="20"/>
          <w:szCs w:val="20"/>
        </w:rPr>
        <w:t xml:space="preserve">DSPM Workflow: Onboarding (one-click cloud integration) → Discovery (agentless scan of all </w:t>
      </w:r>
      <w:r>
        <w:rPr>
          <w:sz w:val="20"/>
          <w:szCs w:val="20"/>
        </w:rPr>
        <w:lastRenderedPageBreak/>
        <w:t>data stores) → Classification (ML-based, 50+ types, GDPR/HIPAA/PCI mapping) → Access Review (permission mapping, over-privilege detection) → Monitoring (real-time risk dashboards) → Remediation (automated workflows with ITSM integration).</w:t>
      </w:r>
    </w:p>
    <w:p w14:paraId="2F362078" w14:textId="77777777" w:rsidR="00770407" w:rsidRDefault="00000000">
      <w:pPr>
        <w:jc w:val="center"/>
      </w:pPr>
      <w:r>
        <w:rPr>
          <w:noProof/>
        </w:rPr>
        <w:drawing>
          <wp:inline distT="0" distB="0" distL="0" distR="0" wp14:anchorId="5B494EFA" wp14:editId="2667AEC1">
            <wp:extent cx="5486400" cy="3116580"/>
            <wp:effectExtent l="0" t="0" r="0" b="0"/>
            <wp:docPr id="14" name="dspm_ecosyste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dspm_ecosystem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860FA" w14:textId="77777777" w:rsidR="00770407" w:rsidRDefault="00000000">
      <w:pPr>
        <w:jc w:val="center"/>
        <w:rPr>
          <w:i/>
          <w:color w:val="666666"/>
          <w:sz w:val="16"/>
          <w:szCs w:val="16"/>
        </w:rPr>
      </w:pPr>
      <w:r>
        <w:rPr>
          <w:i/>
          <w:color w:val="666666"/>
          <w:sz w:val="16"/>
          <w:szCs w:val="16"/>
        </w:rPr>
        <w:t>DSPM Integration Ecosystem: SIEM, ticketing, cloud storage, databases, and VMs</w:t>
      </w:r>
    </w:p>
    <w:p w14:paraId="6CFD384D" w14:textId="77777777" w:rsidR="00770407" w:rsidRDefault="00000000">
      <w:pPr>
        <w:spacing w:before="60" w:after="40"/>
        <w:rPr>
          <w:sz w:val="17"/>
          <w:szCs w:val="17"/>
        </w:rPr>
      </w:pPr>
      <w:r>
        <w:rPr>
          <w:b/>
          <w:color w:val="003BF6"/>
          <w:sz w:val="17"/>
          <w:szCs w:val="17"/>
        </w:rPr>
        <w:t xml:space="preserve">Reference: </w:t>
      </w:r>
      <w:hyperlink r:id="rId22">
        <w:r>
          <w:rPr>
            <w:rStyle w:val="Hyperlink"/>
            <w:sz w:val="17"/>
            <w:szCs w:val="17"/>
          </w:rPr>
          <w:t>DSPM Platform Page</w:t>
        </w:r>
      </w:hyperlink>
    </w:p>
    <w:p w14:paraId="4965C7E0" w14:textId="77777777" w:rsidR="00770407" w:rsidRDefault="00000000">
      <w:pPr>
        <w:pStyle w:val="Heading2"/>
      </w:pPr>
      <w:r>
        <w:t>5. Differentiation and Unique Value Proposition</w:t>
      </w:r>
    </w:p>
    <w:p w14:paraId="60B1B769" w14:textId="77777777" w:rsidR="00770407" w:rsidRDefault="00000000">
      <w:pPr>
        <w:spacing w:after="80"/>
        <w:rPr>
          <w:sz w:val="20"/>
          <w:szCs w:val="20"/>
        </w:rPr>
      </w:pPr>
      <w:r>
        <w:rPr>
          <w:sz w:val="20"/>
          <w:szCs w:val="20"/>
        </w:rPr>
        <w:t>AccuKnox stands apart from legacy CNAPP vendors with capabilities that most competitors cannot match:</w:t>
      </w:r>
    </w:p>
    <w:tbl>
      <w:tblPr>
        <w:tblStyle w:val="TableNormal0"/>
        <w:tblW w:w="9360" w:type="dxa"/>
        <w:tblInd w:w="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4680"/>
        <w:gridCol w:w="2340"/>
        <w:gridCol w:w="2340"/>
      </w:tblGrid>
      <w:tr w:rsidR="00770407" w14:paraId="0627A882" w14:textId="77777777">
        <w:tc>
          <w:tcPr>
            <w:tcW w:w="4680" w:type="dxa"/>
            <w:shd w:val="clear" w:color="auto" w:fill="11206D"/>
          </w:tcPr>
          <w:p w14:paraId="1CD62B96" w14:textId="77777777" w:rsidR="00770407" w:rsidRDefault="00000000"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Capability</w:t>
            </w:r>
          </w:p>
        </w:tc>
        <w:tc>
          <w:tcPr>
            <w:tcW w:w="2340" w:type="dxa"/>
            <w:shd w:val="clear" w:color="auto" w:fill="16A55C"/>
          </w:tcPr>
          <w:p w14:paraId="5F52D74E" w14:textId="77777777" w:rsidR="00770407" w:rsidRDefault="00000000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AccuKnox</w:t>
            </w:r>
          </w:p>
        </w:tc>
        <w:tc>
          <w:tcPr>
            <w:tcW w:w="2340" w:type="dxa"/>
            <w:shd w:val="clear" w:color="auto" w:fill="4D4DD9"/>
          </w:tcPr>
          <w:p w14:paraId="081AC5EC" w14:textId="77777777" w:rsidR="00770407" w:rsidRDefault="00000000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Typical Competitors</w:t>
            </w:r>
          </w:p>
        </w:tc>
      </w:tr>
      <w:tr w:rsidR="00770407" w14:paraId="377A21C8" w14:textId="77777777">
        <w:tc>
          <w:tcPr>
            <w:tcW w:w="4680" w:type="dxa"/>
            <w:shd w:val="clear" w:color="auto" w:fill="EEF0F6"/>
          </w:tcPr>
          <w:p w14:paraId="3A78386D" w14:textId="77777777" w:rsidR="00770407" w:rsidRDefault="00000000">
            <w:pPr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 xml:space="preserve">CNCF </w:t>
            </w:r>
            <w:proofErr w:type="gramStart"/>
            <w:r>
              <w:rPr>
                <w:b/>
                <w:sz w:val="17"/>
                <w:szCs w:val="17"/>
              </w:rPr>
              <w:t>Open Source</w:t>
            </w:r>
            <w:proofErr w:type="gramEnd"/>
            <w:r>
              <w:rPr>
                <w:b/>
                <w:sz w:val="17"/>
                <w:szCs w:val="17"/>
              </w:rPr>
              <w:t xml:space="preserve"> foundation (KubeArmor)</w:t>
            </w:r>
          </w:p>
        </w:tc>
        <w:tc>
          <w:tcPr>
            <w:tcW w:w="2340" w:type="dxa"/>
            <w:shd w:val="clear" w:color="auto" w:fill="E7F6EE"/>
          </w:tcPr>
          <w:p w14:paraId="31198617" w14:textId="77777777" w:rsidR="00770407" w:rsidRDefault="00000000">
            <w:pPr>
              <w:jc w:val="center"/>
              <w:rPr>
                <w:sz w:val="17"/>
                <w:szCs w:val="17"/>
              </w:rPr>
            </w:pPr>
            <w:r>
              <w:rPr>
                <w:b/>
                <w:color w:val="16A55C"/>
                <w:sz w:val="17"/>
                <w:szCs w:val="17"/>
              </w:rPr>
              <w:t>✓</w:t>
            </w:r>
          </w:p>
        </w:tc>
        <w:tc>
          <w:tcPr>
            <w:tcW w:w="2340" w:type="dxa"/>
          </w:tcPr>
          <w:p w14:paraId="3B39E7B0" w14:textId="77777777" w:rsidR="00770407" w:rsidRDefault="00000000">
            <w:pPr>
              <w:jc w:val="center"/>
              <w:rPr>
                <w:color w:val="C80019"/>
                <w:sz w:val="17"/>
                <w:szCs w:val="17"/>
              </w:rPr>
            </w:pPr>
            <w:r>
              <w:rPr>
                <w:color w:val="C80019"/>
                <w:sz w:val="17"/>
                <w:szCs w:val="17"/>
              </w:rPr>
              <w:t>✗</w:t>
            </w:r>
          </w:p>
        </w:tc>
      </w:tr>
      <w:tr w:rsidR="00770407" w14:paraId="2B16BF68" w14:textId="77777777">
        <w:tc>
          <w:tcPr>
            <w:tcW w:w="4680" w:type="dxa"/>
            <w:shd w:val="clear" w:color="auto" w:fill="EEF0F6"/>
          </w:tcPr>
          <w:p w14:paraId="636EBD23" w14:textId="77777777" w:rsidR="00770407" w:rsidRDefault="00000000">
            <w:pPr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Inline mitigation (detect + block, not detect-only)</w:t>
            </w:r>
          </w:p>
        </w:tc>
        <w:tc>
          <w:tcPr>
            <w:tcW w:w="2340" w:type="dxa"/>
            <w:shd w:val="clear" w:color="auto" w:fill="E7F6EE"/>
          </w:tcPr>
          <w:p w14:paraId="2A5ACC7F" w14:textId="77777777" w:rsidR="00770407" w:rsidRDefault="00000000">
            <w:pPr>
              <w:jc w:val="center"/>
              <w:rPr>
                <w:sz w:val="17"/>
                <w:szCs w:val="17"/>
              </w:rPr>
            </w:pPr>
            <w:r>
              <w:rPr>
                <w:b/>
                <w:color w:val="16A55C"/>
                <w:sz w:val="17"/>
                <w:szCs w:val="17"/>
              </w:rPr>
              <w:t>✓</w:t>
            </w:r>
          </w:p>
        </w:tc>
        <w:tc>
          <w:tcPr>
            <w:tcW w:w="2340" w:type="dxa"/>
          </w:tcPr>
          <w:p w14:paraId="7863E360" w14:textId="77777777" w:rsidR="00770407" w:rsidRDefault="00000000">
            <w:pPr>
              <w:jc w:val="center"/>
              <w:rPr>
                <w:color w:val="C80019"/>
                <w:sz w:val="17"/>
                <w:szCs w:val="17"/>
              </w:rPr>
            </w:pPr>
            <w:r>
              <w:rPr>
                <w:color w:val="C80019"/>
                <w:sz w:val="17"/>
                <w:szCs w:val="17"/>
              </w:rPr>
              <w:t>✗</w:t>
            </w:r>
          </w:p>
        </w:tc>
      </w:tr>
      <w:tr w:rsidR="00770407" w14:paraId="77DB35DD" w14:textId="77777777">
        <w:tc>
          <w:tcPr>
            <w:tcW w:w="4680" w:type="dxa"/>
            <w:shd w:val="clear" w:color="auto" w:fill="EEF0F6"/>
          </w:tcPr>
          <w:p w14:paraId="22B9B10E" w14:textId="77777777" w:rsidR="00770407" w:rsidRDefault="00000000">
            <w:pPr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On-premises and air-gapped deployment parity</w:t>
            </w:r>
          </w:p>
        </w:tc>
        <w:tc>
          <w:tcPr>
            <w:tcW w:w="2340" w:type="dxa"/>
            <w:shd w:val="clear" w:color="auto" w:fill="E7F6EE"/>
          </w:tcPr>
          <w:p w14:paraId="48CA295F" w14:textId="77777777" w:rsidR="00770407" w:rsidRDefault="00000000">
            <w:pPr>
              <w:jc w:val="center"/>
              <w:rPr>
                <w:sz w:val="17"/>
                <w:szCs w:val="17"/>
              </w:rPr>
            </w:pPr>
            <w:r>
              <w:rPr>
                <w:b/>
                <w:color w:val="16A55C"/>
                <w:sz w:val="17"/>
                <w:szCs w:val="17"/>
              </w:rPr>
              <w:t>✓</w:t>
            </w:r>
          </w:p>
        </w:tc>
        <w:tc>
          <w:tcPr>
            <w:tcW w:w="2340" w:type="dxa"/>
          </w:tcPr>
          <w:p w14:paraId="0EA1FFB3" w14:textId="77777777" w:rsidR="00770407" w:rsidRDefault="00000000">
            <w:pPr>
              <w:jc w:val="center"/>
              <w:rPr>
                <w:color w:val="C80019"/>
                <w:sz w:val="17"/>
                <w:szCs w:val="17"/>
              </w:rPr>
            </w:pPr>
            <w:r>
              <w:rPr>
                <w:color w:val="C80019"/>
                <w:sz w:val="17"/>
                <w:szCs w:val="17"/>
              </w:rPr>
              <w:t>✗</w:t>
            </w:r>
          </w:p>
        </w:tc>
      </w:tr>
      <w:tr w:rsidR="00770407" w14:paraId="648551CA" w14:textId="77777777">
        <w:tc>
          <w:tcPr>
            <w:tcW w:w="4680" w:type="dxa"/>
            <w:shd w:val="clear" w:color="auto" w:fill="EEF0F6"/>
          </w:tcPr>
          <w:p w14:paraId="2FAE5633" w14:textId="77777777" w:rsidR="00770407" w:rsidRDefault="00000000">
            <w:pPr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Full AI Security stack (AISPM, Red Team, Prompt FW, Sandbox)</w:t>
            </w:r>
          </w:p>
        </w:tc>
        <w:tc>
          <w:tcPr>
            <w:tcW w:w="2340" w:type="dxa"/>
            <w:shd w:val="clear" w:color="auto" w:fill="E7F6EE"/>
          </w:tcPr>
          <w:p w14:paraId="4E2DA031" w14:textId="77777777" w:rsidR="00770407" w:rsidRDefault="00000000">
            <w:pPr>
              <w:jc w:val="center"/>
              <w:rPr>
                <w:sz w:val="17"/>
                <w:szCs w:val="17"/>
              </w:rPr>
            </w:pPr>
            <w:r>
              <w:rPr>
                <w:b/>
                <w:color w:val="16A55C"/>
                <w:sz w:val="17"/>
                <w:szCs w:val="17"/>
              </w:rPr>
              <w:t>✓</w:t>
            </w:r>
          </w:p>
        </w:tc>
        <w:tc>
          <w:tcPr>
            <w:tcW w:w="2340" w:type="dxa"/>
          </w:tcPr>
          <w:p w14:paraId="47676472" w14:textId="77777777" w:rsidR="00770407" w:rsidRDefault="00000000">
            <w:pPr>
              <w:jc w:val="center"/>
              <w:rPr>
                <w:color w:val="C80019"/>
                <w:sz w:val="17"/>
                <w:szCs w:val="17"/>
              </w:rPr>
            </w:pPr>
            <w:r>
              <w:rPr>
                <w:color w:val="C80019"/>
                <w:sz w:val="17"/>
                <w:szCs w:val="17"/>
              </w:rPr>
              <w:t>Partial</w:t>
            </w:r>
          </w:p>
        </w:tc>
      </w:tr>
      <w:tr w:rsidR="00770407" w14:paraId="75B29359" w14:textId="77777777">
        <w:tc>
          <w:tcPr>
            <w:tcW w:w="4680" w:type="dxa"/>
            <w:shd w:val="clear" w:color="auto" w:fill="EEF0F6"/>
          </w:tcPr>
          <w:p w14:paraId="699F8D32" w14:textId="77777777" w:rsidR="00770407" w:rsidRDefault="00000000">
            <w:pPr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eBPF + LSM kernel-level runtime enforcement</w:t>
            </w:r>
          </w:p>
        </w:tc>
        <w:tc>
          <w:tcPr>
            <w:tcW w:w="2340" w:type="dxa"/>
            <w:shd w:val="clear" w:color="auto" w:fill="E7F6EE"/>
          </w:tcPr>
          <w:p w14:paraId="28F896B3" w14:textId="77777777" w:rsidR="00770407" w:rsidRDefault="00000000">
            <w:pPr>
              <w:jc w:val="center"/>
              <w:rPr>
                <w:sz w:val="17"/>
                <w:szCs w:val="17"/>
              </w:rPr>
            </w:pPr>
            <w:r>
              <w:rPr>
                <w:b/>
                <w:color w:val="16A55C"/>
                <w:sz w:val="17"/>
                <w:szCs w:val="17"/>
              </w:rPr>
              <w:t>✓</w:t>
            </w:r>
          </w:p>
        </w:tc>
        <w:tc>
          <w:tcPr>
            <w:tcW w:w="2340" w:type="dxa"/>
          </w:tcPr>
          <w:p w14:paraId="63BA1B34" w14:textId="77777777" w:rsidR="00770407" w:rsidRDefault="00000000">
            <w:pPr>
              <w:jc w:val="center"/>
              <w:rPr>
                <w:color w:val="C80019"/>
                <w:sz w:val="17"/>
                <w:szCs w:val="17"/>
              </w:rPr>
            </w:pPr>
            <w:r>
              <w:rPr>
                <w:color w:val="C80019"/>
                <w:sz w:val="17"/>
                <w:szCs w:val="17"/>
              </w:rPr>
              <w:t>✗</w:t>
            </w:r>
          </w:p>
        </w:tc>
      </w:tr>
      <w:tr w:rsidR="00770407" w14:paraId="4D980D15" w14:textId="77777777">
        <w:tc>
          <w:tcPr>
            <w:tcW w:w="4680" w:type="dxa"/>
            <w:shd w:val="clear" w:color="auto" w:fill="EEF0F6"/>
          </w:tcPr>
          <w:p w14:paraId="5ECBA807" w14:textId="77777777" w:rsidR="00770407" w:rsidRDefault="00000000">
            <w:pPr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5G, Edge, and IoT security</w:t>
            </w:r>
          </w:p>
        </w:tc>
        <w:tc>
          <w:tcPr>
            <w:tcW w:w="2340" w:type="dxa"/>
            <w:shd w:val="clear" w:color="auto" w:fill="E7F6EE"/>
          </w:tcPr>
          <w:p w14:paraId="45FA078F" w14:textId="77777777" w:rsidR="00770407" w:rsidRDefault="00000000">
            <w:pPr>
              <w:jc w:val="center"/>
              <w:rPr>
                <w:sz w:val="17"/>
                <w:szCs w:val="17"/>
              </w:rPr>
            </w:pPr>
            <w:r>
              <w:rPr>
                <w:b/>
                <w:color w:val="16A55C"/>
                <w:sz w:val="17"/>
                <w:szCs w:val="17"/>
              </w:rPr>
              <w:t>✓</w:t>
            </w:r>
          </w:p>
        </w:tc>
        <w:tc>
          <w:tcPr>
            <w:tcW w:w="2340" w:type="dxa"/>
          </w:tcPr>
          <w:p w14:paraId="2400CBD2" w14:textId="77777777" w:rsidR="00770407" w:rsidRDefault="00000000">
            <w:pPr>
              <w:jc w:val="center"/>
              <w:rPr>
                <w:color w:val="C80019"/>
                <w:sz w:val="17"/>
                <w:szCs w:val="17"/>
              </w:rPr>
            </w:pPr>
            <w:r>
              <w:rPr>
                <w:color w:val="C80019"/>
                <w:sz w:val="17"/>
                <w:szCs w:val="17"/>
              </w:rPr>
              <w:t>✗</w:t>
            </w:r>
          </w:p>
        </w:tc>
      </w:tr>
      <w:tr w:rsidR="00770407" w14:paraId="0F1123B7" w14:textId="77777777">
        <w:tc>
          <w:tcPr>
            <w:tcW w:w="4680" w:type="dxa"/>
            <w:shd w:val="clear" w:color="auto" w:fill="EEF0F6"/>
          </w:tcPr>
          <w:p w14:paraId="5D3AB7A4" w14:textId="77777777" w:rsidR="00770407" w:rsidRDefault="00000000">
            <w:pPr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Auto-discovery of application behavior + drift detection</w:t>
            </w:r>
          </w:p>
        </w:tc>
        <w:tc>
          <w:tcPr>
            <w:tcW w:w="2340" w:type="dxa"/>
            <w:shd w:val="clear" w:color="auto" w:fill="E7F6EE"/>
          </w:tcPr>
          <w:p w14:paraId="30A406B0" w14:textId="77777777" w:rsidR="00770407" w:rsidRDefault="00000000">
            <w:pPr>
              <w:jc w:val="center"/>
              <w:rPr>
                <w:sz w:val="17"/>
                <w:szCs w:val="17"/>
              </w:rPr>
            </w:pPr>
            <w:r>
              <w:rPr>
                <w:b/>
                <w:color w:val="16A55C"/>
                <w:sz w:val="17"/>
                <w:szCs w:val="17"/>
              </w:rPr>
              <w:t>✓</w:t>
            </w:r>
          </w:p>
        </w:tc>
        <w:tc>
          <w:tcPr>
            <w:tcW w:w="2340" w:type="dxa"/>
          </w:tcPr>
          <w:p w14:paraId="1FA16E4C" w14:textId="77777777" w:rsidR="00770407" w:rsidRDefault="00000000">
            <w:pPr>
              <w:jc w:val="center"/>
              <w:rPr>
                <w:color w:val="C80019"/>
                <w:sz w:val="17"/>
                <w:szCs w:val="17"/>
              </w:rPr>
            </w:pPr>
            <w:r>
              <w:rPr>
                <w:color w:val="C80019"/>
                <w:sz w:val="17"/>
                <w:szCs w:val="17"/>
              </w:rPr>
              <w:t>✗</w:t>
            </w:r>
          </w:p>
        </w:tc>
      </w:tr>
      <w:tr w:rsidR="00770407" w14:paraId="5901E918" w14:textId="77777777">
        <w:tc>
          <w:tcPr>
            <w:tcW w:w="4680" w:type="dxa"/>
            <w:shd w:val="clear" w:color="auto" w:fill="EEF0F6"/>
          </w:tcPr>
          <w:p w14:paraId="1F93EF9C" w14:textId="77777777" w:rsidR="00770407" w:rsidRDefault="00000000">
            <w:pPr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33+ compliance frameworks (vs. 8-15 typical)</w:t>
            </w:r>
          </w:p>
        </w:tc>
        <w:tc>
          <w:tcPr>
            <w:tcW w:w="2340" w:type="dxa"/>
            <w:shd w:val="clear" w:color="auto" w:fill="E7F6EE"/>
          </w:tcPr>
          <w:p w14:paraId="095BFC22" w14:textId="77777777" w:rsidR="00770407" w:rsidRDefault="00000000">
            <w:pPr>
              <w:jc w:val="center"/>
              <w:rPr>
                <w:sz w:val="17"/>
                <w:szCs w:val="17"/>
              </w:rPr>
            </w:pPr>
            <w:r>
              <w:rPr>
                <w:b/>
                <w:color w:val="16A55C"/>
                <w:sz w:val="17"/>
                <w:szCs w:val="17"/>
              </w:rPr>
              <w:t>✓</w:t>
            </w:r>
          </w:p>
        </w:tc>
        <w:tc>
          <w:tcPr>
            <w:tcW w:w="2340" w:type="dxa"/>
          </w:tcPr>
          <w:p w14:paraId="28E44A44" w14:textId="77777777" w:rsidR="00770407" w:rsidRDefault="00000000">
            <w:pPr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Partial</w:t>
            </w:r>
          </w:p>
        </w:tc>
      </w:tr>
      <w:tr w:rsidR="00770407" w14:paraId="3F0BA634" w14:textId="77777777">
        <w:tc>
          <w:tcPr>
            <w:tcW w:w="4680" w:type="dxa"/>
            <w:shd w:val="clear" w:color="auto" w:fill="EEF0F6"/>
          </w:tcPr>
          <w:p w14:paraId="3958281E" w14:textId="77777777" w:rsidR="00770407" w:rsidRDefault="00000000">
            <w:pPr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Network micro-segmentation + topology monitoring</w:t>
            </w:r>
          </w:p>
        </w:tc>
        <w:tc>
          <w:tcPr>
            <w:tcW w:w="2340" w:type="dxa"/>
            <w:shd w:val="clear" w:color="auto" w:fill="E7F6EE"/>
          </w:tcPr>
          <w:p w14:paraId="0607DE0B" w14:textId="77777777" w:rsidR="00770407" w:rsidRDefault="00000000">
            <w:pPr>
              <w:jc w:val="center"/>
              <w:rPr>
                <w:sz w:val="17"/>
                <w:szCs w:val="17"/>
              </w:rPr>
            </w:pPr>
            <w:r>
              <w:rPr>
                <w:b/>
                <w:color w:val="16A55C"/>
                <w:sz w:val="17"/>
                <w:szCs w:val="17"/>
              </w:rPr>
              <w:t>✓</w:t>
            </w:r>
          </w:p>
        </w:tc>
        <w:tc>
          <w:tcPr>
            <w:tcW w:w="2340" w:type="dxa"/>
          </w:tcPr>
          <w:p w14:paraId="76DE08FC" w14:textId="77777777" w:rsidR="00770407" w:rsidRDefault="00000000">
            <w:pPr>
              <w:jc w:val="center"/>
              <w:rPr>
                <w:color w:val="C80019"/>
                <w:sz w:val="17"/>
                <w:szCs w:val="17"/>
              </w:rPr>
            </w:pPr>
            <w:r>
              <w:rPr>
                <w:color w:val="C80019"/>
                <w:sz w:val="17"/>
                <w:szCs w:val="17"/>
              </w:rPr>
              <w:t>✗</w:t>
            </w:r>
          </w:p>
        </w:tc>
      </w:tr>
    </w:tbl>
    <w:p w14:paraId="3CF40011" w14:textId="77777777" w:rsidR="00770407" w:rsidRDefault="00000000">
      <w:pPr>
        <w:spacing w:before="120" w:after="80"/>
        <w:rPr>
          <w:sz w:val="20"/>
          <w:szCs w:val="20"/>
        </w:rPr>
      </w:pPr>
      <w:r>
        <w:rPr>
          <w:sz w:val="20"/>
          <w:szCs w:val="20"/>
        </w:rPr>
        <w:t xml:space="preserve">AccuKnox is incubated out of SRI International (Stanford Research Institute), holds 10+ Zero </w:t>
      </w:r>
      <w:r>
        <w:rPr>
          <w:sz w:val="20"/>
          <w:szCs w:val="20"/>
        </w:rPr>
        <w:lastRenderedPageBreak/>
        <w:t>Trust security patents, is backed by $15M in seed funding from National Grid Partners, Dolby Family Ventures, and Dreamit Ventures, and has won the #1 AI Security Startup award at BSides Bangalore 2025. Trusted by US DoD, Alice Blue, Pure Storage, Sonesta, and more.</w:t>
      </w:r>
    </w:p>
    <w:p w14:paraId="77B36A95" w14:textId="77777777" w:rsidR="00770407" w:rsidRDefault="00000000">
      <w:pPr>
        <w:spacing w:before="60" w:after="40"/>
        <w:rPr>
          <w:sz w:val="17"/>
          <w:szCs w:val="17"/>
        </w:rPr>
      </w:pPr>
      <w:r>
        <w:rPr>
          <w:b/>
          <w:color w:val="003BF6"/>
          <w:sz w:val="17"/>
          <w:szCs w:val="17"/>
        </w:rPr>
        <w:t xml:space="preserve">More: </w:t>
      </w:r>
      <w:hyperlink r:id="rId23">
        <w:r>
          <w:rPr>
            <w:rStyle w:val="Hyperlink"/>
            <w:sz w:val="17"/>
            <w:szCs w:val="17"/>
          </w:rPr>
          <w:t>Full Differentiators</w:t>
        </w:r>
      </w:hyperlink>
      <w:r>
        <w:rPr>
          <w:sz w:val="17"/>
          <w:szCs w:val="17"/>
        </w:rPr>
        <w:t xml:space="preserve">  |  </w:t>
      </w:r>
      <w:hyperlink r:id="rId24">
        <w:r>
          <w:rPr>
            <w:rStyle w:val="Hyperlink"/>
            <w:sz w:val="17"/>
            <w:szCs w:val="17"/>
          </w:rPr>
          <w:t>CNAPP Platform</w:t>
        </w:r>
      </w:hyperlink>
      <w:r>
        <w:rPr>
          <w:sz w:val="17"/>
          <w:szCs w:val="17"/>
        </w:rPr>
        <w:t xml:space="preserve">  |  </w:t>
      </w:r>
      <w:hyperlink r:id="rId25">
        <w:r>
          <w:rPr>
            <w:rStyle w:val="Hyperlink"/>
            <w:sz w:val="17"/>
            <w:szCs w:val="17"/>
          </w:rPr>
          <w:t>Compliance Matrix</w:t>
        </w:r>
      </w:hyperlink>
      <w:r>
        <w:rPr>
          <w:sz w:val="17"/>
          <w:szCs w:val="17"/>
        </w:rPr>
        <w:t xml:space="preserve">  |  </w:t>
      </w:r>
      <w:hyperlink r:id="rId26">
        <w:r>
          <w:rPr>
            <w:rStyle w:val="Hyperlink"/>
            <w:sz w:val="17"/>
            <w:szCs w:val="17"/>
          </w:rPr>
          <w:t>Runtime Security</w:t>
        </w:r>
      </w:hyperlink>
      <w:r>
        <w:rPr>
          <w:sz w:val="17"/>
          <w:szCs w:val="17"/>
        </w:rPr>
        <w:t xml:space="preserve">  |  </w:t>
      </w:r>
      <w:hyperlink r:id="rId27">
        <w:r>
          <w:rPr>
            <w:rStyle w:val="Hyperlink"/>
            <w:sz w:val="17"/>
            <w:szCs w:val="17"/>
          </w:rPr>
          <w:t>Kubernetes Security</w:t>
        </w:r>
      </w:hyperlink>
    </w:p>
    <w:p w14:paraId="390CD13D" w14:textId="77777777" w:rsidR="00770407" w:rsidRDefault="00770407">
      <w:pPr>
        <w:spacing w:after="80"/>
      </w:pPr>
    </w:p>
    <w:p w14:paraId="3BC3D56C" w14:textId="77777777" w:rsidR="00770407" w:rsidRDefault="00000000">
      <w:pPr>
        <w:spacing w:before="120"/>
        <w:jc w:val="center"/>
        <w:rPr>
          <w:sz w:val="22"/>
          <w:szCs w:val="22"/>
        </w:rPr>
      </w:pPr>
      <w:r>
        <w:rPr>
          <w:b/>
          <w:color w:val="003BF6"/>
          <w:sz w:val="22"/>
          <w:szCs w:val="22"/>
        </w:rPr>
        <w:t xml:space="preserve">Ready to see AccuKnox in action?  </w:t>
      </w:r>
      <w:hyperlink r:id="rId28">
        <w:r>
          <w:rPr>
            <w:rStyle w:val="Hyperlink"/>
            <w:b/>
            <w:sz w:val="22"/>
            <w:szCs w:val="22"/>
          </w:rPr>
          <w:t>Schedule a Demo</w:t>
        </w:r>
      </w:hyperlink>
    </w:p>
    <w:sectPr w:rsidR="00770407">
      <w:headerReference w:type="default" r:id="rId29"/>
      <w:footerReference w:type="default" r:id="rId30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8A0B14" w14:textId="77777777" w:rsidR="00B43ED4" w:rsidRDefault="00B43ED4">
      <w:pPr>
        <w:spacing w:before="0"/>
      </w:pPr>
      <w:r>
        <w:separator/>
      </w:r>
    </w:p>
  </w:endnote>
  <w:endnote w:type="continuationSeparator" w:id="0">
    <w:p w14:paraId="3AF14E4C" w14:textId="77777777" w:rsidR="00B43ED4" w:rsidRDefault="00B43ED4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pace Grotesk">
    <w:panose1 w:val="00000000000000000000"/>
    <w:charset w:val="00"/>
    <w:family w:val="auto"/>
    <w:pitch w:val="variable"/>
    <w:sig w:usb0="A10000FF" w:usb1="5000207B" w:usb2="00000000" w:usb3="00000000" w:csb0="00000193" w:csb1="00000000"/>
    <w:embedRegular r:id="rId1" w:fontKey="{0EBE152C-BC7C-4502-936E-0F0DFE7E5793}"/>
    <w:embedBold r:id="rId2" w:fontKey="{80D932B2-673A-4E72-BCCE-3408A8492ABE}"/>
    <w:embedItalic r:id="rId3" w:fontKey="{89B51D07-0943-40E5-9AF0-1080A00E7991}"/>
  </w:font>
  <w:font w:name="Space Grotesk SemiBold">
    <w:panose1 w:val="00000000000000000000"/>
    <w:charset w:val="00"/>
    <w:family w:val="auto"/>
    <w:pitch w:val="variable"/>
    <w:sig w:usb0="A10000FF" w:usb1="5000207B" w:usb2="00000000" w:usb3="00000000" w:csb0="00000193" w:csb1="00000000"/>
    <w:embedRegular r:id="rId4" w:fontKey="{BBDB2E95-2C97-4792-A54F-4D61FF830D3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5" w:fontKey="{0807EF4C-09FD-48E4-B503-1704F87540E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46152B07-9F55-4248-84E5-2089AE08AB9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2B0E2F08-87CD-4363-AC5D-D9E28FBEB28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4847A" w14:textId="77777777" w:rsidR="00770407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A7360B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0FC812" w14:textId="77777777" w:rsidR="00B43ED4" w:rsidRDefault="00B43ED4">
      <w:pPr>
        <w:spacing w:before="0"/>
      </w:pPr>
      <w:r>
        <w:separator/>
      </w:r>
    </w:p>
  </w:footnote>
  <w:footnote w:type="continuationSeparator" w:id="0">
    <w:p w14:paraId="7E59BB2C" w14:textId="77777777" w:rsidR="00B43ED4" w:rsidRDefault="00B43ED4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0B221C" w14:textId="77777777" w:rsidR="00770407" w:rsidRDefault="00000000">
    <w:pPr>
      <w:rPr>
        <w:sz w:val="24"/>
        <w:szCs w:val="24"/>
      </w:rPr>
    </w:pPr>
    <w:r>
      <w:rPr>
        <w:sz w:val="24"/>
        <w:szCs w:val="24"/>
      </w:rPr>
      <w:t>AccuKnox Differentiated Offering for Cloud Security</w:t>
    </w: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59278A98" wp14:editId="5CFCD71A">
          <wp:simplePos x="0" y="0"/>
          <wp:positionH relativeFrom="column">
            <wp:posOffset>4333875</wp:posOffset>
          </wp:positionH>
          <wp:positionV relativeFrom="paragraph">
            <wp:posOffset>-152399</wp:posOffset>
          </wp:positionV>
          <wp:extent cx="1957388" cy="462161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57388" cy="46216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0407"/>
    <w:rsid w:val="00770407"/>
    <w:rsid w:val="009B7C98"/>
    <w:rsid w:val="00A7360B"/>
    <w:rsid w:val="00B43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1DC58"/>
  <w15:docId w15:val="{E79C2C35-B235-44B1-9F66-6B192731F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pace Grotesk" w:eastAsia="Space Grotesk" w:hAnsi="Space Grotesk" w:cs="Space Grotesk"/>
        <w:sz w:val="18"/>
        <w:szCs w:val="18"/>
        <w:lang w:val="en" w:eastAsia="en-US" w:bidi="ar-SA"/>
      </w:rPr>
    </w:rPrDefault>
    <w:pPrDefault>
      <w:pPr>
        <w:widowControl w:val="0"/>
        <w:spacing w:before="11"/>
        <w:ind w:right="8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0"/>
      <w:ind w:right="0"/>
      <w:jc w:val="center"/>
      <w:outlineLvl w:val="0"/>
    </w:pPr>
    <w:rPr>
      <w:b/>
      <w:bCs/>
      <w:color w:val="0000FF"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0" w:after="200"/>
      <w:ind w:right="0"/>
      <w:outlineLvl w:val="1"/>
    </w:pPr>
    <w:rPr>
      <w:b/>
      <w:bCs/>
      <w:color w:val="003BF6"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0" w:after="200"/>
      <w:ind w:right="0"/>
      <w:outlineLvl w:val="2"/>
    </w:pPr>
    <w:rPr>
      <w:b/>
      <w:bCs/>
      <w:color w:val="003BF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0" w:after="200"/>
      <w:ind w:right="0"/>
      <w:outlineLvl w:val="3"/>
    </w:pPr>
    <w:rPr>
      <w:rFonts w:ascii="Space Grotesk SemiBold" w:eastAsia="Space Grotesk SemiBold" w:hAnsi="Space Grotesk SemiBold" w:cs="Space Grotesk SemiBold"/>
      <w:color w:val="003BF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rPr>
      <w:color w:val="003BF6"/>
      <w:u w:val="single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elp.accuknox.com/use-cases/cspm/" TargetMode="External"/><Relationship Id="rId13" Type="http://schemas.openxmlformats.org/officeDocument/2006/relationships/hyperlink" Target="https://help.accuknox.com/use-cases/cdr/" TargetMode="External"/><Relationship Id="rId18" Type="http://schemas.openxmlformats.org/officeDocument/2006/relationships/hyperlink" Target="https://help.accuknox.com/how-to/aiml-overview/" TargetMode="External"/><Relationship Id="rId26" Type="http://schemas.openxmlformats.org/officeDocument/2006/relationships/hyperlink" Target="https://accuknox.com/platform/runtime-security" TargetMode="External"/><Relationship Id="rId3" Type="http://schemas.openxmlformats.org/officeDocument/2006/relationships/webSettings" Target="webSettings.xml"/><Relationship Id="rId21" Type="http://schemas.openxmlformats.org/officeDocument/2006/relationships/image" Target="media/image6.png"/><Relationship Id="rId7" Type="http://schemas.openxmlformats.org/officeDocument/2006/relationships/hyperlink" Target="https://help.accuknox.com/how-to/high-level-onboarding/" TargetMode="External"/><Relationship Id="rId12" Type="http://schemas.openxmlformats.org/officeDocument/2006/relationships/hyperlink" Target="https://help.accuknox.com/getting-started/aws-cdr/" TargetMode="External"/><Relationship Id="rId17" Type="http://schemas.openxmlformats.org/officeDocument/2006/relationships/image" Target="media/image5.png"/><Relationship Id="rId25" Type="http://schemas.openxmlformats.org/officeDocument/2006/relationships/hyperlink" Target="https://accuknox.com/compliance" TargetMode="External"/><Relationship Id="rId2" Type="http://schemas.openxmlformats.org/officeDocument/2006/relationships/settings" Target="settings.xml"/><Relationship Id="rId16" Type="http://schemas.openxmlformats.org/officeDocument/2006/relationships/image" Target="media/image4.png"/><Relationship Id="rId20" Type="http://schemas.openxmlformats.org/officeDocument/2006/relationships/hyperlink" Target="https://accuknox.com/platform/ai-security" TargetMode="External"/><Relationship Id="rId29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3.png"/><Relationship Id="rId24" Type="http://schemas.openxmlformats.org/officeDocument/2006/relationships/hyperlink" Target="https://accuknox.com/platform/cnapp" TargetMode="External"/><Relationship Id="rId32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hyperlink" Target="https://accuknox.com/solutions/ai-dr" TargetMode="External"/><Relationship Id="rId23" Type="http://schemas.openxmlformats.org/officeDocument/2006/relationships/hyperlink" Target="https://accuknox.com/differentiators" TargetMode="External"/><Relationship Id="rId28" Type="http://schemas.openxmlformats.org/officeDocument/2006/relationships/hyperlink" Target="https://accuknox.com/demo" TargetMode="External"/><Relationship Id="rId10" Type="http://schemas.openxmlformats.org/officeDocument/2006/relationships/image" Target="media/image2.png"/><Relationship Id="rId19" Type="http://schemas.openxmlformats.org/officeDocument/2006/relationships/hyperlink" Target="https://help.accuknox.com/use-cases/prompt-firewall-overview/" TargetMode="External"/><Relationship Id="rId31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s://accuknox.com/platform/cspm" TargetMode="External"/><Relationship Id="rId14" Type="http://schemas.openxmlformats.org/officeDocument/2006/relationships/hyperlink" Target="https://help.accuknox.com/use-cases/aidr/" TargetMode="External"/><Relationship Id="rId22" Type="http://schemas.openxmlformats.org/officeDocument/2006/relationships/hyperlink" Target="https://accuknox.com/platform/dspm" TargetMode="External"/><Relationship Id="rId27" Type="http://schemas.openxmlformats.org/officeDocument/2006/relationships/hyperlink" Target="https://accuknox.com/platform/kubernetes-security" TargetMode="External"/><Relationship Id="rId30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1082</Words>
  <Characters>6168</Characters>
  <Application>Microsoft Office Word</Application>
  <DocSecurity>0</DocSecurity>
  <Lines>51</Lines>
  <Paragraphs>14</Paragraphs>
  <ScaleCrop>false</ScaleCrop>
  <Company/>
  <LinksUpToDate>false</LinksUpToDate>
  <CharactersWithSpaces>7236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ATHARVA SHAH  (Student)</cp:lastModifiedBy>
  <cp:revision>2</cp:revision>
  <dcterms:created xsi:type="dcterms:W3CDTF">2026-06-17T07:52:00Z</dcterms:created>
  <dcterms:modified xsi:type="dcterms:W3CDTF">2026-06-17T07:53:00Z</dcterms:modified>
</cp:coreProperties>
</file>