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Fibonacci Avoids and Error Inventory</w:t>
      </w:r>
    </w:p>
    <w:p>
      <w:pPr>
        <w:pStyle w:val="Subtitle"/>
        <w:jc w:val="center"/>
      </w:pPr>
      <w:r>
        <w:t>Errors, discrepancies, and failure modes in studying, drawing, charting, and explaining the Fibonacci sequence</w:t>
      </w:r>
    </w:p>
    <w:p>
      <w:pPr>
        <w:jc w:val="center"/>
      </w:pPr>
      <w:r>
        <w:rPr>
          <w:b/>
          <w:color w:val="1F4E79"/>
          <w:sz w:val="19"/>
        </w:rPr>
        <w:t>Fv convention: Fv -1 -&gt; 0, Fv 0 -&gt; 1, Fv 1 -&gt; 1, continuing by addition.</w:t>
      </w:r>
    </w:p>
    <w:p>
      <w:pPr>
        <w:spacing w:after="140"/>
      </w:pPr>
      <w:r>
        <w:rPr>
          <w:i/>
          <w:color w:val="4B5563"/>
        </w:rPr>
        <w:t>Each entry records a condition that introduces mathematical error, indexing ambiguity, visual distortion, explanatory confusion, or rendering inaccuracy. The IDs are stable within this document.</w:t>
      </w:r>
    </w:p>
    <w:p>
      <w:pPr>
        <w:pStyle w:val="Heading1"/>
      </w:pPr>
      <w:r>
        <w:t>1. Indexing, labels, and terminology</w:t>
      </w:r>
    </w:p>
    <w:p>
      <w:pPr>
        <w:pStyle w:val="InventoryEntry"/>
      </w:pPr>
      <w:r>
        <w:rPr>
          <w:b/>
          <w:color w:val="1F4E79"/>
        </w:rPr>
        <w:t>AV-001 — Index Drift</w:t>
      </w:r>
      <w:r>
        <w:t>. Avoid shifting the same destination value between incompatible step numbers without explicitly changing the indexing convention.</w:t>
      </w:r>
    </w:p>
    <w:p>
      <w:pPr>
        <w:pStyle w:val="InventoryEntry"/>
      </w:pPr>
      <w:r>
        <w:rPr>
          <w:b/>
          <w:color w:val="1F4E79"/>
        </w:rPr>
        <w:t>AV-002 — Zero Omission</w:t>
      </w:r>
      <w:r>
        <w:t>. Avoid beginning the displayed process at 1 when the stated convention includes Fv -1 -&gt; 0.</w:t>
      </w:r>
    </w:p>
    <w:p>
      <w:pPr>
        <w:pStyle w:val="InventoryEntry"/>
      </w:pPr>
      <w:r>
        <w:rPr>
          <w:b/>
          <w:color w:val="1F4E79"/>
        </w:rPr>
        <w:t>AV-003 — Twin-One Confusion</w:t>
      </w:r>
      <w:r>
        <w:t>. Avoid treating the two initial 1 values as one step; they occupy Fv 0 and Fv 1.</w:t>
      </w:r>
    </w:p>
    <w:p>
      <w:pPr>
        <w:pStyle w:val="InventoryEntry"/>
      </w:pPr>
      <w:r>
        <w:rPr>
          <w:b/>
          <w:color w:val="1F4E79"/>
        </w:rPr>
        <w:t>AV-004 — Convention Mixing</w:t>
      </w:r>
      <w:r>
        <w:t>. Avoid combining conventional F0=0 indexing with the Fv convention Fv -1=0 in the same chart, caption, table, or equation.</w:t>
      </w:r>
    </w:p>
    <w:p>
      <w:pPr>
        <w:pStyle w:val="InventoryEntry"/>
      </w:pPr>
      <w:r>
        <w:rPr>
          <w:b/>
          <w:color w:val="1F4E79"/>
        </w:rPr>
        <w:t>AV-005 — Implicit Seeds</w:t>
      </w:r>
      <w:r>
        <w:t>. Avoid presenting a recurrence without the two seed destinations that determine the sequence.</w:t>
      </w:r>
    </w:p>
    <w:p>
      <w:pPr>
        <w:pStyle w:val="InventoryEntry"/>
      </w:pPr>
      <w:r>
        <w:rPr>
          <w:b/>
          <w:color w:val="1F4E79"/>
        </w:rPr>
        <w:t>AV-006 — Step-Value Swap</w:t>
      </w:r>
      <w:r>
        <w:t>. Avoid using Fv as though it were both a step label and the destination number without a separator or definition.</w:t>
      </w:r>
    </w:p>
    <w:p>
      <w:pPr>
        <w:pStyle w:val="InventoryEntry"/>
      </w:pPr>
      <w:r>
        <w:rPr>
          <w:b/>
          <w:color w:val="1F4E79"/>
        </w:rPr>
        <w:t>AV-007 — Term Ambiguity</w:t>
      </w:r>
      <w:r>
        <w:t>. Avoid using term, step, index, value, and destination as interchangeable words.</w:t>
      </w:r>
    </w:p>
    <w:p>
      <w:pPr>
        <w:pStyle w:val="InventoryEntry"/>
      </w:pPr>
      <w:r>
        <w:rPr>
          <w:b/>
          <w:color w:val="1F4E79"/>
        </w:rPr>
        <w:t>AV-008 — Count Ambiguity</w:t>
      </w:r>
      <w:r>
        <w:t>. Avoid calling 30 displayed destinations 30 transitions; Fv -1 through Fv 28 contains 30 destinations and 29 transitions.</w:t>
      </w:r>
    </w:p>
    <w:p>
      <w:pPr>
        <w:pStyle w:val="InventoryEntry"/>
      </w:pPr>
      <w:r>
        <w:rPr>
          <w:b/>
          <w:color w:val="1F4E79"/>
        </w:rPr>
        <w:t>AV-009 — Fraction Offset</w:t>
      </w:r>
      <w:r>
        <w:t>. Avoid labeling D_v/D_(v-1) with the step belonging to either the numerator or denominator incorrectly.</w:t>
      </w:r>
    </w:p>
    <w:p>
      <w:pPr>
        <w:pStyle w:val="InventoryEntry"/>
      </w:pPr>
      <w:r>
        <w:rPr>
          <w:b/>
          <w:color w:val="1F4E79"/>
        </w:rPr>
        <w:t>AV-010 — Missing Range</w:t>
      </w:r>
      <w:r>
        <w:t>. Avoid silently stopping a list or graph before Fv 28 when the declared reference set runs through Fv 28.</w:t>
      </w:r>
    </w:p>
    <w:p>
      <w:pPr>
        <w:pStyle w:val="InventoryEntry"/>
      </w:pPr>
      <w:r>
        <w:rPr>
          <w:b/>
          <w:color w:val="1F4E79"/>
        </w:rPr>
        <w:t>AV-011 — Tick Gaps</w:t>
      </w:r>
      <w:r>
        <w:t>. Avoid missing step labels such as the skipped 22 in a sequential x-axis.</w:t>
      </w:r>
    </w:p>
    <w:p>
      <w:pPr>
        <w:pStyle w:val="InventoryEntry"/>
      </w:pPr>
      <w:r>
        <w:rPr>
          <w:b/>
          <w:color w:val="1F4E79"/>
        </w:rPr>
        <w:t>AV-012 — Duplicate Labels</w:t>
      </w:r>
      <w:r>
        <w:t>. Avoid assigning one Fv label to two different destinations or repeating a step label on an axis.</w:t>
      </w:r>
    </w:p>
    <w:p>
      <w:pPr>
        <w:pStyle w:val="InventoryEntry"/>
      </w:pPr>
      <w:r>
        <w:rPr>
          <w:b/>
          <w:color w:val="1F4E79"/>
        </w:rPr>
        <w:t>AV-013 — Legacy Symbols</w:t>
      </w:r>
      <w:r>
        <w:t>. Avoid retaining F_n notation after relabeling the same data as Fv unless the relationship between the systems is stated.</w:t>
      </w:r>
    </w:p>
    <w:p>
      <w:pPr>
        <w:pStyle w:val="InventoryEntry"/>
      </w:pPr>
      <w:r>
        <w:rPr>
          <w:b/>
          <w:color w:val="1F4E79"/>
        </w:rPr>
        <w:t>AV-014 — Undefined Ratio</w:t>
      </w:r>
      <w:r>
        <w:t>. Avoid assigning a forward ratio to Fv -1 or Fv 0 when a valid prior positive destination is absent.</w:t>
      </w:r>
    </w:p>
    <w:p>
      <w:pPr>
        <w:pStyle w:val="InventoryEntry"/>
      </w:pPr>
      <w:r>
        <w:rPr>
          <w:b/>
          <w:color w:val="1F4E79"/>
        </w:rPr>
        <w:t>AV-015 — Unmarked Approximation</w:t>
      </w:r>
      <w:r>
        <w:t>. Avoid writing .618 or 1.618 with an equality sign when the displayed decimals are rounded approximations.</w:t>
      </w:r>
    </w:p>
    <w:p>
      <w:pPr>
        <w:pStyle w:val="Heading1"/>
      </w:pPr>
      <w:r>
        <w:t>2. Sequence values and recurrence</w:t>
      </w:r>
    </w:p>
    <w:p>
      <w:pPr>
        <w:pStyle w:val="InventoryEntry"/>
      </w:pPr>
      <w:r>
        <w:rPr>
          <w:b/>
          <w:color w:val="1F4E79"/>
        </w:rPr>
        <w:t>AV-016 — Wrong Seeds</w:t>
      </w:r>
      <w:r>
        <w:t>. Avoid starting from 0 and 0, 1 and 2, or another seed pair while calling the result the stated Fibonacci destination sequence.</w:t>
      </w:r>
    </w:p>
    <w:p>
      <w:pPr>
        <w:pStyle w:val="InventoryEntry"/>
      </w:pPr>
      <w:r>
        <w:rPr>
          <w:b/>
          <w:color w:val="1F4E79"/>
        </w:rPr>
        <w:t>AV-017 — Bad Addition</w:t>
      </w:r>
      <w:r>
        <w:t>. Avoid drawing a destination group whose count is not the sum of the two preceding destination groups.</w:t>
      </w:r>
    </w:p>
    <w:p>
      <w:pPr>
        <w:pStyle w:val="InventoryEntry"/>
      </w:pPr>
      <w:r>
        <w:rPr>
          <w:b/>
          <w:color w:val="1F4E79"/>
        </w:rPr>
        <w:t>AV-018 — Six-for-Five</w:t>
      </w:r>
      <w:r>
        <w:t>. Avoid showing six objects at the step labeled or implied as destination 5.</w:t>
      </w:r>
    </w:p>
    <w:p>
      <w:pPr>
        <w:pStyle w:val="InventoryEntry"/>
      </w:pPr>
      <w:r>
        <w:rPr>
          <w:b/>
          <w:color w:val="1F4E79"/>
        </w:rPr>
        <w:t>AV-019 — Eighteen-for-Thirteen</w:t>
      </w:r>
      <w:r>
        <w:t>. Avoid showing eighteen objects at the step labeled or implied as destination 13.</w:t>
      </w:r>
    </w:p>
    <w:p>
      <w:pPr>
        <w:pStyle w:val="InventoryEntry"/>
      </w:pPr>
      <w:r>
        <w:rPr>
          <w:b/>
          <w:color w:val="1F4E79"/>
        </w:rPr>
        <w:t>AV-020 — Source Mismatch</w:t>
      </w:r>
      <w:r>
        <w:t>. Avoid drawing source boxes that contain values different from the two destinations said to generate the next destination.</w:t>
      </w:r>
    </w:p>
    <w:p>
      <w:pPr>
        <w:pStyle w:val="InventoryEntry"/>
      </w:pPr>
      <w:r>
        <w:rPr>
          <w:b/>
          <w:color w:val="1F4E79"/>
        </w:rPr>
        <w:t>AV-021 — Arrow Mismatch</w:t>
      </w:r>
      <w:r>
        <w:t>. Avoid connecting arrows to a result that does not equal the connected source pair.</w:t>
      </w:r>
    </w:p>
    <w:p>
      <w:pPr>
        <w:pStyle w:val="InventoryEntry"/>
      </w:pPr>
      <w:r>
        <w:rPr>
          <w:b/>
          <w:color w:val="1F4E79"/>
        </w:rPr>
        <w:t>AV-022 — Value Typo</w:t>
      </w:r>
      <w:r>
        <w:t>. Avoid a single incorrect destination number, because every subsequent destination derived from it becomes incorrect.</w:t>
      </w:r>
    </w:p>
    <w:p>
      <w:pPr>
        <w:pStyle w:val="InventoryEntry"/>
      </w:pPr>
      <w:r>
        <w:rPr>
          <w:b/>
          <w:color w:val="1F4E79"/>
        </w:rPr>
        <w:t>AV-023 — Silent Substitution</w:t>
      </w:r>
      <w:r>
        <w:t>. Avoid replacing a sequence destination with a nearby aesthetically convenient number.</w:t>
      </w:r>
    </w:p>
    <w:p>
      <w:pPr>
        <w:pStyle w:val="InventoryEntry"/>
      </w:pPr>
      <w:r>
        <w:rPr>
          <w:b/>
          <w:color w:val="1F4E79"/>
        </w:rPr>
        <w:t>AV-024 — Rounded Integer</w:t>
      </w:r>
      <w:r>
        <w:t>. Avoid scaling or rounding integer destination values into noninteger heights while still labeling the graphic as exact.</w:t>
      </w:r>
    </w:p>
    <w:p>
      <w:pPr>
        <w:pStyle w:val="InventoryEntry"/>
      </w:pPr>
      <w:r>
        <w:rPr>
          <w:b/>
          <w:color w:val="1F4E79"/>
        </w:rPr>
        <w:t>AV-025 — Partial Verification</w:t>
      </w:r>
      <w:r>
        <w:t>. Avoid verifying only the first few additions and assuming later additions remain correct.</w:t>
      </w:r>
    </w:p>
    <w:p>
      <w:pPr>
        <w:pStyle w:val="InventoryEntry"/>
      </w:pPr>
      <w:r>
        <w:rPr>
          <w:b/>
          <w:color w:val="1F4E79"/>
        </w:rPr>
        <w:t>AV-026 — Hidden Reordering</w:t>
      </w:r>
      <w:r>
        <w:t>. Avoid rearranging destination values by size or layout without preserving the Fv process order.</w:t>
      </w:r>
    </w:p>
    <w:p>
      <w:pPr>
        <w:pStyle w:val="InventoryEntry"/>
      </w:pPr>
      <w:r>
        <w:rPr>
          <w:b/>
          <w:color w:val="1F4E79"/>
        </w:rPr>
        <w:t>AV-027 — Endpoint Loss</w:t>
      </w:r>
      <w:r>
        <w:t>. Avoid omitting the final six destinations Fv 23 through Fv 28 from a graphic described as the complete 30-destination reference.</w:t>
      </w:r>
    </w:p>
    <w:p>
      <w:pPr>
        <w:pStyle w:val="Heading1"/>
      </w:pPr>
      <w:r>
        <w:t>3. Ratios, limits, and the time metaphor</w:t>
      </w:r>
    </w:p>
    <w:p>
      <w:pPr>
        <w:pStyle w:val="InventoryEntry"/>
      </w:pPr>
      <w:r>
        <w:rPr>
          <w:b/>
          <w:color w:val="1F4E79"/>
        </w:rPr>
        <w:t>AV-028 — Ratio Reversal</w:t>
      </w:r>
      <w:r>
        <w:t>. Avoid confusing the forward ratio D_v/D_(v-1), which approaches phi, with its reciprocal, which approaches 1/phi.</w:t>
      </w:r>
    </w:p>
    <w:p>
      <w:pPr>
        <w:pStyle w:val="InventoryEntry"/>
      </w:pPr>
      <w:r>
        <w:rPr>
          <w:b/>
          <w:color w:val="1F4E79"/>
        </w:rPr>
        <w:t>AV-029 — Yesterday Swap</w:t>
      </w:r>
      <w:r>
        <w:t>. Avoid placing Yesterday = 0.618 on a forward-ratio curve; it belongs to the reciprocal-ratio limit.</w:t>
      </w:r>
    </w:p>
    <w:p>
      <w:pPr>
        <w:pStyle w:val="InventoryEntry"/>
      </w:pPr>
      <w:r>
        <w:rPr>
          <w:b/>
          <w:color w:val="1F4E79"/>
        </w:rPr>
        <w:t>AV-030 — Tomorrow Swap</w:t>
      </w:r>
      <w:r>
        <w:t>. Avoid placing Tomorrow = 1.618 on a reciprocal-ratio curve; it belongs to the forward-ratio limit.</w:t>
      </w:r>
    </w:p>
    <w:p>
      <w:pPr>
        <w:pStyle w:val="InventoryEntry"/>
      </w:pPr>
      <w:r>
        <w:rPr>
          <w:b/>
          <w:color w:val="1F4E79"/>
        </w:rPr>
        <w:t>AV-031 — Exact Phi</w:t>
      </w:r>
      <w:r>
        <w:t>. Avoid claiming that a finite ratio of integer Fibonacci destinations is exactly phi.</w:t>
      </w:r>
    </w:p>
    <w:p>
      <w:pPr>
        <w:pStyle w:val="InventoryEntry"/>
      </w:pPr>
      <w:r>
        <w:rPr>
          <w:b/>
          <w:color w:val="1F4E79"/>
        </w:rPr>
        <w:t>AV-032 — Exact Yesterday</w:t>
      </w:r>
      <w:r>
        <w:t>. Avoid claiming that a finite reciprocal ratio is exactly 1/phi.</w:t>
      </w:r>
    </w:p>
    <w:p>
      <w:pPr>
        <w:pStyle w:val="InventoryEntry"/>
      </w:pPr>
      <w:r>
        <w:rPr>
          <w:b/>
          <w:color w:val="1F4E79"/>
        </w:rPr>
        <w:t>AV-033 — Linear Time</w:t>
      </w:r>
      <w:r>
        <w:t>. Avoid implying that 0.618, 1, and 1.618 are equally spaced points on a linear axis.</w:t>
      </w:r>
    </w:p>
    <w:p>
      <w:pPr>
        <w:pStyle w:val="InventoryEntry"/>
      </w:pPr>
      <w:r>
        <w:rPr>
          <w:b/>
          <w:color w:val="1F4E79"/>
        </w:rPr>
        <w:t>AV-034 — Metaphor Fact</w:t>
      </w:r>
      <w:r>
        <w:t>. Avoid presenting Yesterday, Today, and Tomorrow labels as a theorem of Fibonacci mathematics rather than as a declared metaphorical mapping.</w:t>
      </w:r>
    </w:p>
    <w:p>
      <w:pPr>
        <w:pStyle w:val="InventoryEntry"/>
      </w:pPr>
      <w:r>
        <w:rPr>
          <w:b/>
          <w:color w:val="1F4E79"/>
        </w:rPr>
        <w:t>AV-035 — Monotone Claim</w:t>
      </w:r>
      <w:r>
        <w:t>. Avoid saying the forward ratios rise monotonically toward phi; they alternate above and below it.</w:t>
      </w:r>
    </w:p>
    <w:p>
      <w:pPr>
        <w:pStyle w:val="InventoryEntry"/>
      </w:pPr>
      <w:r>
        <w:rPr>
          <w:b/>
          <w:color w:val="1F4E79"/>
        </w:rPr>
        <w:t>AV-036 — One-Sided Claim</w:t>
      </w:r>
      <w:r>
        <w:t>. Avoid drawing all ratio points on one side of phi after the first crossing.</w:t>
      </w:r>
    </w:p>
    <w:p>
      <w:pPr>
        <w:pStyle w:val="InventoryEntry"/>
      </w:pPr>
      <w:r>
        <w:rPr>
          <w:b/>
          <w:color w:val="1F4E79"/>
        </w:rPr>
        <w:t>AV-037 — Error-Swing Mix</w:t>
      </w:r>
      <w:r>
        <w:t>. Avoid treating |R_v-phi| and |R_v-R_(v-1)| as the same quantity.</w:t>
      </w:r>
    </w:p>
    <w:p>
      <w:pPr>
        <w:pStyle w:val="InventoryEntry"/>
      </w:pPr>
      <w:r>
        <w:rPr>
          <w:b/>
          <w:color w:val="1F4E79"/>
        </w:rPr>
        <w:t>AV-038 — Signed-Absolute Mix</w:t>
      </w:r>
      <w:r>
        <w:t>. Avoid calling a signed difference an absolute difference, or vice versa.</w:t>
      </w:r>
    </w:p>
    <w:p>
      <w:pPr>
        <w:pStyle w:val="InventoryEntry"/>
      </w:pPr>
      <w:r>
        <w:rPr>
          <w:b/>
          <w:color w:val="1F4E79"/>
        </w:rPr>
        <w:t>AV-039 — Fixed Contraction</w:t>
      </w:r>
      <w:r>
        <w:t>. Avoid stating that each error is multiplied by exactly 1/phi^2; the factor approaches 1/phi^2.</w:t>
      </w:r>
    </w:p>
    <w:p>
      <w:pPr>
        <w:pStyle w:val="InventoryEntry"/>
      </w:pPr>
      <w:r>
        <w:rPr>
          <w:b/>
          <w:color w:val="1F4E79"/>
        </w:rPr>
        <w:t>AV-040 — Recurrence Omission</w:t>
      </w:r>
      <w:r>
        <w:t>. Avoid explaining convergence without identifying the ratio recurrence R_(v+1)=1+1/R_v.</w:t>
      </w:r>
    </w:p>
    <w:p>
      <w:pPr>
        <w:pStyle w:val="InventoryEntry"/>
      </w:pPr>
      <w:r>
        <w:rPr>
          <w:b/>
          <w:color w:val="1F4E79"/>
        </w:rPr>
        <w:t>AV-041 — Limit Omission</w:t>
      </w:r>
      <w:r>
        <w:t>. Avoid showing a convergence curve without naming or numerically identifying its limiting line.</w:t>
      </w:r>
    </w:p>
    <w:p>
      <w:pPr>
        <w:pStyle w:val="InventoryEntry"/>
      </w:pPr>
      <w:r>
        <w:rPr>
          <w:b/>
          <w:color w:val="1F4E79"/>
        </w:rPr>
        <w:t>AV-042 — Unity Omission</w:t>
      </w:r>
      <w:r>
        <w:t>. Avoid omitting Today = 1 when the time metaphor is part of the description.</w:t>
      </w:r>
    </w:p>
    <w:p>
      <w:pPr>
        <w:pStyle w:val="InventoryEntry"/>
      </w:pPr>
      <w:r>
        <w:rPr>
          <w:b/>
          <w:color w:val="1F4E79"/>
        </w:rPr>
        <w:t>AV-043 — Scale Collision</w:t>
      </w:r>
      <w:r>
        <w:t>. Avoid placing absolute destinations up to 514229 and normalized time-reference ratios near 1 on one undifferentiated y-axis.</w:t>
      </w:r>
    </w:p>
    <w:p>
      <w:pPr>
        <w:pStyle w:val="InventoryEntry"/>
      </w:pPr>
      <w:r>
        <w:rPr>
          <w:b/>
          <w:color w:val="1F4E79"/>
        </w:rPr>
        <w:t>AV-044 — Decimal Truncation</w:t>
      </w:r>
      <w:r>
        <w:t>. Avoid truncating phi to too few decimals when the chart claims to resolve late oscillations.</w:t>
      </w:r>
    </w:p>
    <w:p>
      <w:pPr>
        <w:pStyle w:val="InventoryEntry"/>
      </w:pPr>
      <w:r>
        <w:rPr>
          <w:b/>
          <w:color w:val="1F4E79"/>
        </w:rPr>
        <w:t>AV-045 — Rounding Sign</w:t>
      </w:r>
      <w:r>
        <w:t>. Avoid rounding late ratios so aggressively that an above-phi value and a below-phi value appear identical.</w:t>
      </w:r>
    </w:p>
    <w:p>
      <w:pPr>
        <w:pStyle w:val="Heading1"/>
      </w:pPr>
      <w:r>
        <w:t>4. Chart construction and data visualization</w:t>
      </w:r>
    </w:p>
    <w:p>
      <w:pPr>
        <w:pStyle w:val="InventoryEntry"/>
      </w:pPr>
      <w:r>
        <w:rPr>
          <w:b/>
          <w:color w:val="1F4E79"/>
        </w:rPr>
        <w:t>AV-046 — Spline Fiction</w:t>
      </w:r>
      <w:r>
        <w:t>. Avoid a smoothed spline through discrete Fibonacci ratios; it invents intermediate values, crossings, and extrema.</w:t>
      </w:r>
    </w:p>
    <w:p>
      <w:pPr>
        <w:pStyle w:val="InventoryEntry"/>
      </w:pPr>
      <w:r>
        <w:rPr>
          <w:b/>
          <w:color w:val="1F4E79"/>
        </w:rPr>
        <w:t>AV-047 — Continuous Implication</w:t>
      </w:r>
      <w:r>
        <w:t>. Avoid presenting integer-step recurrence data as a continuous physical signal without a discrete marker for every observation.</w:t>
      </w:r>
    </w:p>
    <w:p>
      <w:pPr>
        <w:pStyle w:val="InventoryEntry"/>
      </w:pPr>
      <w:r>
        <w:rPr>
          <w:b/>
          <w:color w:val="1F4E79"/>
        </w:rPr>
        <w:t>AV-048 — Marker Loss</w:t>
      </w:r>
      <w:r>
        <w:t>. Avoid a connected line with no visible data markers when exact step positions matter.</w:t>
      </w:r>
    </w:p>
    <w:p>
      <w:pPr>
        <w:pStyle w:val="InventoryEntry"/>
      </w:pPr>
      <w:r>
        <w:rPr>
          <w:b/>
          <w:color w:val="1F4E79"/>
        </w:rPr>
        <w:t>AV-049 — Vague Axis</w:t>
      </w:r>
      <w:r>
        <w:t>. Avoid generic axis labels such as Value or Index when the plotted quantity is a destination, forward ratio, reciprocal ratio, or error.</w:t>
      </w:r>
    </w:p>
    <w:p>
      <w:pPr>
        <w:pStyle w:val="InventoryEntry"/>
      </w:pPr>
      <w:r>
        <w:rPr>
          <w:b/>
          <w:color w:val="1F4E79"/>
        </w:rPr>
        <w:t>AV-050 — Missing Units</w:t>
      </w:r>
      <w:r>
        <w:t>. Avoid an unlabeled dashed line whose mathematical role can only be guessed.</w:t>
      </w:r>
    </w:p>
    <w:p>
      <w:pPr>
        <w:pStyle w:val="InventoryEntry"/>
      </w:pPr>
      <w:r>
        <w:rPr>
          <w:b/>
          <w:color w:val="1F4E79"/>
        </w:rPr>
        <w:t>AV-051 — Boundary Clipping</w:t>
      </w:r>
      <w:r>
        <w:t>. Avoid placing the first ratio point exactly on the lower plot boundary where the marker is clipped by the axis spine.</w:t>
      </w:r>
    </w:p>
    <w:p>
      <w:pPr>
        <w:pStyle w:val="InventoryEntry"/>
      </w:pPr>
      <w:r>
        <w:rPr>
          <w:b/>
          <w:color w:val="1F4E79"/>
        </w:rPr>
        <w:t>AV-052 — Excluded Yesterday</w:t>
      </w:r>
      <w:r>
        <w:t>. Avoid setting a ratio chart minimum above 0.618 when the same chart claims to display the Yesterday reference.</w:t>
      </w:r>
    </w:p>
    <w:p>
      <w:pPr>
        <w:pStyle w:val="InventoryEntry"/>
      </w:pPr>
      <w:r>
        <w:rPr>
          <w:b/>
          <w:color w:val="1F4E79"/>
        </w:rPr>
        <w:t>AV-053 — Crowded Ticks</w:t>
      </w:r>
      <w:r>
        <w:t>. Avoid long fraction expressions on every x-axis tick when they become unreadable or overlap.</w:t>
      </w:r>
    </w:p>
    <w:p>
      <w:pPr>
        <w:pStyle w:val="InventoryEntry"/>
      </w:pPr>
      <w:r>
        <w:rPr>
          <w:b/>
          <w:color w:val="1F4E79"/>
        </w:rPr>
        <w:t>AV-054 — Crowded Labels</w:t>
      </w:r>
      <w:r>
        <w:t>. Avoid placing six-decimal labels around every late point when the labels obscure the line and each other.</w:t>
      </w:r>
    </w:p>
    <w:p>
      <w:pPr>
        <w:pStyle w:val="InventoryEntry"/>
      </w:pPr>
      <w:r>
        <w:rPr>
          <w:b/>
          <w:color w:val="1F4E79"/>
        </w:rPr>
        <w:t>AV-055 — Origin Collapse</w:t>
      </w:r>
      <w:r>
        <w:t>. Avoid a linear destination scale that makes most early Fibonacci values visually indistinguishable from zero without an inset or transformed view.</w:t>
      </w:r>
    </w:p>
    <w:p>
      <w:pPr>
        <w:pStyle w:val="InventoryEntry"/>
      </w:pPr>
      <w:r>
        <w:rPr>
          <w:b/>
          <w:color w:val="1F4E79"/>
        </w:rPr>
        <w:t>AV-056 — Zero Log</w:t>
      </w:r>
      <w:r>
        <w:t>. Avoid placing the zero destination directly on a standard logarithmic axis.</w:t>
      </w:r>
    </w:p>
    <w:p>
      <w:pPr>
        <w:pStyle w:val="InventoryEntry"/>
      </w:pPr>
      <w:r>
        <w:rPr>
          <w:b/>
          <w:color w:val="1F4E79"/>
        </w:rPr>
        <w:t>AV-057 — Orderless Scatter</w:t>
      </w:r>
      <w:r>
        <w:t>. Avoid an unlabeled scatter plot of consecutive pairs when the progression order is part of the subject.</w:t>
      </w:r>
    </w:p>
    <w:p>
      <w:pPr>
        <w:pStyle w:val="InventoryEntry"/>
      </w:pPr>
      <w:r>
        <w:rPr>
          <w:b/>
          <w:color w:val="1F4E79"/>
        </w:rPr>
        <w:t>AV-058 — Missing Asymptote</w:t>
      </w:r>
      <w:r>
        <w:t>. Avoid a consecutive-pair plot with no y=phi*x reference when convergence of slope is a stated point of interest.</w:t>
      </w:r>
    </w:p>
    <w:p>
      <w:pPr>
        <w:pStyle w:val="InventoryEntry"/>
      </w:pPr>
      <w:r>
        <w:rPr>
          <w:b/>
          <w:color w:val="1F4E79"/>
        </w:rPr>
        <w:t>AV-059 — Bar Compression</w:t>
      </w:r>
      <w:r>
        <w:t>. Avoid changing the scale of later bars while preserving the scale of earlier bars.</w:t>
      </w:r>
    </w:p>
    <w:p>
      <w:pPr>
        <w:pStyle w:val="InventoryEntry"/>
      </w:pPr>
      <w:r>
        <w:rPr>
          <w:b/>
          <w:color w:val="1F4E79"/>
        </w:rPr>
        <w:t>AV-060 — Guide Distortion</w:t>
      </w:r>
      <w:r>
        <w:t>. Avoid positioning guide lines at distorted bar tops and presenting them as a regular numeric scale.</w:t>
      </w:r>
    </w:p>
    <w:p>
      <w:pPr>
        <w:pStyle w:val="InventoryEntry"/>
      </w:pPr>
      <w:r>
        <w:rPr>
          <w:b/>
          <w:color w:val="1F4E79"/>
        </w:rPr>
        <w:t>AV-061 — Unstated Break</w:t>
      </w:r>
      <w:r>
        <w:t>. Avoid a broken, compressed, or transformed axis that lacks a visible break or transformation label.</w:t>
      </w:r>
    </w:p>
    <w:p>
      <w:pPr>
        <w:pStyle w:val="InventoryEntry"/>
      </w:pPr>
      <w:r>
        <w:rPr>
          <w:b/>
          <w:color w:val="1F4E79"/>
        </w:rPr>
        <w:t>AV-062 — Line Dominance</w:t>
      </w:r>
      <w:r>
        <w:t>. Avoid making the connecting line visually heavier than the discrete markers in a sequence plot.</w:t>
      </w:r>
    </w:p>
    <w:p>
      <w:pPr>
        <w:pStyle w:val="InventoryEntry"/>
      </w:pPr>
      <w:r>
        <w:rPr>
          <w:b/>
          <w:color w:val="1F4E79"/>
        </w:rPr>
        <w:t>AV-063 — Excess Range</w:t>
      </w:r>
      <w:r>
        <w:t>. Avoid large unused negative ranges on an axis for a nonnegative sequence unless the negative range has a stated role.</w:t>
      </w:r>
    </w:p>
    <w:p>
      <w:pPr>
        <w:pStyle w:val="InventoryEntry"/>
      </w:pPr>
      <w:r>
        <w:rPr>
          <w:b/>
          <w:color w:val="1F4E79"/>
        </w:rPr>
        <w:t>AV-064 — False Precision</w:t>
      </w:r>
      <w:r>
        <w:t>. Avoid displaying more decimal places than the plotting resolution can distinguish.</w:t>
      </w:r>
    </w:p>
    <w:p>
      <w:pPr>
        <w:pStyle w:val="InventoryEntry"/>
      </w:pPr>
      <w:r>
        <w:rPr>
          <w:b/>
          <w:color w:val="1F4E79"/>
        </w:rPr>
        <w:t>AV-065 — No Source Table</w:t>
      </w:r>
      <w:r>
        <w:t>. Avoid a complicated educational chart with no accessible table or textual list of the values that generated it.</w:t>
      </w:r>
    </w:p>
    <w:p>
      <w:pPr>
        <w:pStyle w:val="Heading1"/>
      </w:pPr>
      <w:r>
        <w:t>5. Pixel accuracy, scaling, and rendering</w:t>
      </w:r>
    </w:p>
    <w:p>
      <w:pPr>
        <w:pStyle w:val="InventoryEntry"/>
      </w:pPr>
      <w:r>
        <w:rPr>
          <w:b/>
          <w:color w:val="1F4E79"/>
        </w:rPr>
        <w:t>AV-066 — Pixel Nudging</w:t>
      </w:r>
      <w:r>
        <w:t>. Avoid manually moving mathematically generated points by two or three pixels to make an oscillation look clearer.</w:t>
      </w:r>
    </w:p>
    <w:p>
      <w:pPr>
        <w:pStyle w:val="InventoryEntry"/>
      </w:pPr>
      <w:r>
        <w:rPr>
          <w:b/>
          <w:color w:val="1F4E79"/>
        </w:rPr>
        <w:t>AV-067 — Subpixel Claim</w:t>
      </w:r>
      <w:r>
        <w:t>. Avoid claiming visible late-stage alternation on a scale where the true displacement is below one pixel.</w:t>
      </w:r>
    </w:p>
    <w:p>
      <w:pPr>
        <w:pStyle w:val="InventoryEntry"/>
      </w:pPr>
      <w:r>
        <w:rPr>
          <w:b/>
          <w:color w:val="1F4E79"/>
        </w:rPr>
        <w:t>AV-068 — Stroke Bias</w:t>
      </w:r>
      <w:r>
        <w:t>. Avoid ignoring line thickness when judging whether a point lies above or below a reference line.</w:t>
      </w:r>
    </w:p>
    <w:p>
      <w:pPr>
        <w:pStyle w:val="InventoryEntry"/>
      </w:pPr>
      <w:r>
        <w:rPr>
          <w:b/>
          <w:color w:val="1F4E79"/>
        </w:rPr>
        <w:t>AV-069 — Antialias Bias</w:t>
      </w:r>
      <w:r>
        <w:t>. Avoid reading antialiased edge pixels as exact point coordinates.</w:t>
      </w:r>
    </w:p>
    <w:p>
      <w:pPr>
        <w:pStyle w:val="InventoryEntry"/>
      </w:pPr>
      <w:r>
        <w:rPr>
          <w:b/>
          <w:color w:val="1F4E79"/>
        </w:rPr>
        <w:t>AV-070 — Raster Authority</w:t>
      </w:r>
      <w:r>
        <w:t>. Avoid treating a screenshot as the numerical source of truth when the original values are available.</w:t>
      </w:r>
    </w:p>
    <w:p>
      <w:pPr>
        <w:pStyle w:val="InventoryEntry"/>
      </w:pPr>
      <w:r>
        <w:rPr>
          <w:b/>
          <w:color w:val="1F4E79"/>
        </w:rPr>
        <w:t>AV-071 — Scale Drift</w:t>
      </w:r>
      <w:r>
        <w:t>. Avoid allowing separate panels to use visually similar but numerically incompatible scales.</w:t>
      </w:r>
    </w:p>
    <w:p>
      <w:pPr>
        <w:pStyle w:val="InventoryEntry"/>
      </w:pPr>
      <w:r>
        <w:rPr>
          <w:b/>
          <w:color w:val="1F4E79"/>
        </w:rPr>
        <w:t>AV-072 — Aspect Distortion</w:t>
      </w:r>
      <w:r>
        <w:t>. Avoid resizing one axis independently when the geometry or slope is supposed to remain meaningful.</w:t>
      </w:r>
    </w:p>
    <w:p>
      <w:pPr>
        <w:pStyle w:val="InventoryEntry"/>
      </w:pPr>
      <w:r>
        <w:rPr>
          <w:b/>
          <w:color w:val="1F4E79"/>
        </w:rPr>
        <w:t>AV-073 — Reference Shift</w:t>
      </w:r>
      <w:r>
        <w:t>. Avoid moving the phi line to meet rounded point labels rather than calculating its position from the axis transform.</w:t>
      </w:r>
    </w:p>
    <w:p>
      <w:pPr>
        <w:pStyle w:val="InventoryEntry"/>
      </w:pPr>
      <w:r>
        <w:rPr>
          <w:b/>
          <w:color w:val="1F4E79"/>
        </w:rPr>
        <w:t>AV-074 — Hidden Crop</w:t>
      </w:r>
      <w:r>
        <w:t>. Avoid cropping titles, definitions, lower notes, or endpoints from a technical screenshot.</w:t>
      </w:r>
    </w:p>
    <w:p>
      <w:pPr>
        <w:pStyle w:val="InventoryEntry"/>
      </w:pPr>
      <w:r>
        <w:rPr>
          <w:b/>
          <w:color w:val="1F4E79"/>
        </w:rPr>
        <w:t>AV-075 — UI Capture</w:t>
      </w:r>
      <w:r>
        <w:t>. Avoid retaining menus, overflow controls, browser chrome, or other interface elements in a finished explanatory graphic.</w:t>
      </w:r>
    </w:p>
    <w:p>
      <w:pPr>
        <w:pStyle w:val="InventoryEntry"/>
      </w:pPr>
      <w:r>
        <w:rPr>
          <w:b/>
          <w:color w:val="1F4E79"/>
        </w:rPr>
        <w:t>AV-076 — Resolution Mismatch</w:t>
      </w:r>
      <w:r>
        <w:t>. Avoid placing tiny type, thin lines, or dense labels into a raster image too small to preserve them.</w:t>
      </w:r>
    </w:p>
    <w:p>
      <w:pPr>
        <w:pStyle w:val="InventoryEntry"/>
      </w:pPr>
      <w:r>
        <w:rPr>
          <w:b/>
          <w:color w:val="1F4E79"/>
        </w:rPr>
        <w:t>AV-077 — Unchecked Export</w:t>
      </w:r>
      <w:r>
        <w:t>. Avoid assuming a chart remains accurate after export, scaling, compression, or format conversion.</w:t>
      </w:r>
    </w:p>
    <w:p>
      <w:pPr>
        <w:pStyle w:val="Heading1"/>
      </w:pPr>
      <w:r>
        <w:t>6. Fibonacci rectangles and spirals</w:t>
      </w:r>
    </w:p>
    <w:p>
      <w:pPr>
        <w:pStyle w:val="InventoryEntry"/>
      </w:pPr>
      <w:r>
        <w:rPr>
          <w:b/>
          <w:color w:val="1F4E79"/>
        </w:rPr>
        <w:t>AV-078 — Golden Claim</w:t>
      </w:r>
      <w:r>
        <w:t>. Avoid labeling a rectangle golden when its width-to-height ratio is not phi.</w:t>
      </w:r>
    </w:p>
    <w:p>
      <w:pPr>
        <w:pStyle w:val="InventoryEntry"/>
      </w:pPr>
      <w:r>
        <w:rPr>
          <w:b/>
          <w:color w:val="1F4E79"/>
        </w:rPr>
        <w:t>AV-079 — Non-Square Tiles</w:t>
      </w:r>
      <w:r>
        <w:t>. Avoid calling subdivisions Fibonacci squares when their width and height differ.</w:t>
      </w:r>
    </w:p>
    <w:p>
      <w:pPr>
        <w:pStyle w:val="InventoryEntry"/>
      </w:pPr>
      <w:r>
        <w:rPr>
          <w:b/>
          <w:color w:val="1F4E79"/>
        </w:rPr>
        <w:t>AV-080 — Wrong Sizes</w:t>
      </w:r>
      <w:r>
        <w:t>. Avoid using tile side lengths that do not follow 1, 1, 2, 3, 5, 8, 13, and so on.</w:t>
      </w:r>
    </w:p>
    <w:p>
      <w:pPr>
        <w:pStyle w:val="InventoryEntry"/>
      </w:pPr>
      <w:r>
        <w:rPr>
          <w:b/>
          <w:color w:val="1F4E79"/>
        </w:rPr>
        <w:t>AV-081 — Arc Radius</w:t>
      </w:r>
      <w:r>
        <w:t>. Avoid drawing a spiral arc whose radius does not equal the side length of its containing square.</w:t>
      </w:r>
    </w:p>
    <w:p>
      <w:pPr>
        <w:pStyle w:val="InventoryEntry"/>
      </w:pPr>
      <w:r>
        <w:rPr>
          <w:b/>
          <w:color w:val="1F4E79"/>
        </w:rPr>
        <w:t>AV-082 — Arc Center</w:t>
      </w:r>
      <w:r>
        <w:t>. Avoid placing a quarter-circle center away from the required square corner.</w:t>
      </w:r>
    </w:p>
    <w:p>
      <w:pPr>
        <w:pStyle w:val="InventoryEntry"/>
      </w:pPr>
      <w:r>
        <w:rPr>
          <w:b/>
          <w:color w:val="1F4E79"/>
        </w:rPr>
        <w:t>AV-083 — Broken Tangency</w:t>
      </w:r>
      <w:r>
        <w:t>. Avoid spiral segments that do not meet tangentially at shared square boundaries.</w:t>
      </w:r>
    </w:p>
    <w:p>
      <w:pPr>
        <w:pStyle w:val="InventoryEntry"/>
      </w:pPr>
      <w:r>
        <w:rPr>
          <w:b/>
          <w:color w:val="1F4E79"/>
        </w:rPr>
        <w:t>AV-084 — Decorative Spiral</w:t>
      </w:r>
      <w:r>
        <w:t>. Avoid presenting a freehand or generic logarithmic-looking spiral as an exact Fibonacci-square construction.</w:t>
      </w:r>
    </w:p>
    <w:p>
      <w:pPr>
        <w:pStyle w:val="InventoryEntry"/>
      </w:pPr>
      <w:r>
        <w:rPr>
          <w:b/>
          <w:color w:val="1F4E79"/>
        </w:rPr>
        <w:t>AV-085 — Unlabeled Tiles</w:t>
      </w:r>
      <w:r>
        <w:t>. Avoid omitting the side-length or Fv labels from a geometric construction presented as quantitative.</w:t>
      </w:r>
    </w:p>
    <w:p>
      <w:pPr>
        <w:pStyle w:val="InventoryEntry"/>
      </w:pPr>
      <w:r>
        <w:rPr>
          <w:b/>
          <w:color w:val="1F4E79"/>
        </w:rPr>
        <w:t>AV-086 — Recursive Misfit</w:t>
      </w:r>
      <w:r>
        <w:t>. Avoid a tile arrangement whose next square is not attached along the side created by the previous rectangle.</w:t>
      </w:r>
    </w:p>
    <w:p>
      <w:pPr>
        <w:pStyle w:val="InventoryEntry"/>
      </w:pPr>
      <w:r>
        <w:rPr>
          <w:b/>
          <w:color w:val="1F4E79"/>
        </w:rPr>
        <w:t>AV-087 — Resize Damage</w:t>
      </w:r>
      <w:r>
        <w:t>. Avoid nonuniformly stretching a correct square-and-arc construction after it has been drawn.</w:t>
      </w:r>
    </w:p>
    <w:p>
      <w:pPr>
        <w:pStyle w:val="Heading1"/>
      </w:pPr>
      <w:r>
        <w:t>7. Explanation, annotation, and document integrity</w:t>
      </w:r>
    </w:p>
    <w:p>
      <w:pPr>
        <w:pStyle w:val="InventoryEntry"/>
      </w:pPr>
      <w:r>
        <w:rPr>
          <w:b/>
          <w:color w:val="1F4E79"/>
        </w:rPr>
        <w:t>AV-088 — Legend Ambiguity</w:t>
      </w:r>
      <w:r>
        <w:t>. Avoid legends that name colors without defining the formula or data represented by each color.</w:t>
      </w:r>
    </w:p>
    <w:p>
      <w:pPr>
        <w:pStyle w:val="InventoryEntry"/>
      </w:pPr>
      <w:r>
        <w:rPr>
          <w:b/>
          <w:color w:val="1F4E79"/>
        </w:rPr>
        <w:t>AV-089 — Color Only</w:t>
      </w:r>
      <w:r>
        <w:t>. Avoid relying on color alone to distinguish forward ratio, reciprocal ratio, phi, unity, and error.</w:t>
      </w:r>
    </w:p>
    <w:p>
      <w:pPr>
        <w:pStyle w:val="InventoryEntry"/>
      </w:pPr>
      <w:r>
        <w:rPr>
          <w:b/>
          <w:color w:val="1F4E79"/>
        </w:rPr>
        <w:t>AV-090 — Missing Convention</w:t>
      </w:r>
      <w:r>
        <w:t>. Avoid any standalone image that lacks its indexing convention.</w:t>
      </w:r>
    </w:p>
    <w:p>
      <w:pPr>
        <w:pStyle w:val="InventoryEntry"/>
      </w:pPr>
      <w:r>
        <w:rPr>
          <w:b/>
          <w:color w:val="1F4E79"/>
        </w:rPr>
        <w:t>AV-091 — Missing Formula</w:t>
      </w:r>
      <w:r>
        <w:t>. Avoid a ratio label without its numerator and denominator definition.</w:t>
      </w:r>
    </w:p>
    <w:p>
      <w:pPr>
        <w:pStyle w:val="InventoryEntry"/>
      </w:pPr>
      <w:r>
        <w:rPr>
          <w:b/>
          <w:color w:val="1F4E79"/>
        </w:rPr>
        <w:t>AV-092 — Missing Destination</w:t>
      </w:r>
      <w:r>
        <w:t>. Avoid an Fv label with no associated destination value when the process-to-destination mapping is central.</w:t>
      </w:r>
    </w:p>
    <w:p>
      <w:pPr>
        <w:pStyle w:val="InventoryEntry"/>
      </w:pPr>
      <w:r>
        <w:rPr>
          <w:b/>
          <w:color w:val="1F4E79"/>
        </w:rPr>
        <w:t>AV-093 — Missing Prior</w:t>
      </w:r>
      <w:r>
        <w:t>. Avoid a ratio annotation that omits the preceding destination from which it is calculated.</w:t>
      </w:r>
    </w:p>
    <w:p>
      <w:pPr>
        <w:pStyle w:val="InventoryEntry"/>
      </w:pPr>
      <w:r>
        <w:rPr>
          <w:b/>
          <w:color w:val="1F4E79"/>
        </w:rPr>
        <w:t>AV-094 — Unverified Copy</w:t>
      </w:r>
      <w:r>
        <w:t>. Avoid copying values from a prior image without checking them against the canonical sequence.</w:t>
      </w:r>
    </w:p>
    <w:p>
      <w:pPr>
        <w:pStyle w:val="InventoryEntry"/>
      </w:pPr>
      <w:r>
        <w:rPr>
          <w:b/>
          <w:color w:val="1F4E79"/>
        </w:rPr>
        <w:t>AV-095 — Panel Conflict</w:t>
      </w:r>
      <w:r>
        <w:t>. Avoid combining panels that disagree about counts, labels, scales, or step boundaries.</w:t>
      </w:r>
    </w:p>
    <w:p>
      <w:pPr>
        <w:pStyle w:val="InventoryEntry"/>
      </w:pPr>
      <w:r>
        <w:rPr>
          <w:b/>
          <w:color w:val="1F4E79"/>
        </w:rPr>
        <w:t>AV-096 — Silent Correction</w:t>
      </w:r>
      <w:r>
        <w:t>. Avoid visually correcting a graphic while leaving its accompanying table or prose unchanged.</w:t>
      </w:r>
    </w:p>
    <w:p>
      <w:pPr>
        <w:pStyle w:val="InventoryEntry"/>
      </w:pPr>
      <w:r>
        <w:rPr>
          <w:b/>
          <w:color w:val="1F4E79"/>
        </w:rPr>
        <w:t>AV-097 — Orphan Formula</w:t>
      </w:r>
      <w:r>
        <w:t>. Avoid presenting a formula far from the graph element it defines with no leader, caption, or matching symbol.</w:t>
      </w:r>
    </w:p>
    <w:p>
      <w:pPr>
        <w:pStyle w:val="InventoryEntry"/>
      </w:pPr>
      <w:r>
        <w:rPr>
          <w:b/>
          <w:color w:val="1F4E79"/>
        </w:rPr>
        <w:t>AV-098 — Overclaiming</w:t>
      </w:r>
      <w:r>
        <w:t>. Avoid stating that a chart proves more than its data, range, and resolution demonstrate.</w:t>
      </w:r>
    </w:p>
    <w:p>
      <w:pPr>
        <w:pStyle w:val="InventoryEntry"/>
      </w:pPr>
      <w:r>
        <w:rPr>
          <w:b/>
          <w:color w:val="1F4E79"/>
        </w:rPr>
        <w:t>AV-099 — Aesthetic Override</w:t>
      </w:r>
      <w:r>
        <w:t>. Avoid prioritizing symmetry, smoothness, or balanced spacing over numerical fidelity.</w:t>
      </w:r>
    </w:p>
    <w:p>
      <w:pPr>
        <w:pStyle w:val="InventoryEntry"/>
      </w:pPr>
      <w:r>
        <w:rPr>
          <w:b/>
          <w:color w:val="1F4E79"/>
        </w:rPr>
        <w:t>AV-100 — Missing Audit</w:t>
      </w:r>
      <w:r>
        <w:t>. Avoid finalizing a multi-panel Fibonacci explanation without checking sequence values, indexing, formulas, scales, labels, and rendering as separate audit categories.</w:t>
      </w:r>
    </w:p>
    <w:p>
      <w:pPr>
        <w:pStyle w:val="Heading1"/>
      </w:pPr>
      <w:r>
        <w:t>Appendix A. Canonical reference</w:t>
      </w:r>
    </w:p>
    <w:p>
      <w:pPr>
        <w:spacing w:after="140"/>
      </w:pPr>
      <w:r>
        <w:rPr>
          <w:i/>
          <w:color w:val="4B5563"/>
        </w:rPr>
        <w:t>The reference below anchors the avoids to one explicit indexing and destination convention.</w:t>
      </w:r>
    </w:p>
    <w:p>
      <w:pPr>
        <w:pStyle w:val="InventoryEntry"/>
      </w:pPr>
      <w:r>
        <w:rPr>
          <w:b/>
          <w:color w:val="1F4E79"/>
        </w:rPr>
        <w:t>REF-001 — Fv -1</w:t>
      </w:r>
      <w:r>
        <w:t>. Destination 0.</w:t>
      </w:r>
    </w:p>
    <w:p>
      <w:pPr>
        <w:pStyle w:val="InventoryEntry"/>
      </w:pPr>
      <w:r>
        <w:rPr>
          <w:b/>
          <w:color w:val="1F4E79"/>
        </w:rPr>
        <w:t>REF-002 — Fv 0</w:t>
      </w:r>
      <w:r>
        <w:t>. Destination 1.</w:t>
      </w:r>
    </w:p>
    <w:p>
      <w:pPr>
        <w:pStyle w:val="InventoryEntry"/>
      </w:pPr>
      <w:r>
        <w:rPr>
          <w:b/>
          <w:color w:val="1F4E79"/>
        </w:rPr>
        <w:t>REF-003 — Fv 1</w:t>
      </w:r>
      <w:r>
        <w:t>. Destination 1.</w:t>
      </w:r>
    </w:p>
    <w:p>
      <w:pPr>
        <w:pStyle w:val="InventoryEntry"/>
      </w:pPr>
      <w:r>
        <w:rPr>
          <w:b/>
          <w:color w:val="1F4E79"/>
        </w:rPr>
        <w:t>REF-004 — Fv 2</w:t>
      </w:r>
      <w:r>
        <w:t>. Destination 2.</w:t>
      </w:r>
    </w:p>
    <w:p>
      <w:pPr>
        <w:pStyle w:val="InventoryEntry"/>
      </w:pPr>
      <w:r>
        <w:rPr>
          <w:b/>
          <w:color w:val="1F4E79"/>
        </w:rPr>
        <w:t>REF-005 — Fv 3</w:t>
      </w:r>
      <w:r>
        <w:t>. Destination 3.</w:t>
      </w:r>
    </w:p>
    <w:p>
      <w:pPr>
        <w:pStyle w:val="InventoryEntry"/>
      </w:pPr>
      <w:r>
        <w:rPr>
          <w:b/>
          <w:color w:val="1F4E79"/>
        </w:rPr>
        <w:t>REF-006 — Fv 4</w:t>
      </w:r>
      <w:r>
        <w:t>. Destination 5.</w:t>
      </w:r>
    </w:p>
    <w:p>
      <w:pPr>
        <w:pStyle w:val="InventoryEntry"/>
      </w:pPr>
      <w:r>
        <w:rPr>
          <w:b/>
          <w:color w:val="1F4E79"/>
        </w:rPr>
        <w:t>REF-007 — Fv 5</w:t>
      </w:r>
      <w:r>
        <w:t>. Destination 8.</w:t>
      </w:r>
    </w:p>
    <w:p>
      <w:pPr>
        <w:pStyle w:val="InventoryEntry"/>
      </w:pPr>
      <w:r>
        <w:rPr>
          <w:b/>
          <w:color w:val="1F4E79"/>
        </w:rPr>
        <w:t>REF-008 — Fv 6</w:t>
      </w:r>
      <w:r>
        <w:t>. Destination 13.</w:t>
      </w:r>
    </w:p>
    <w:p>
      <w:pPr>
        <w:pStyle w:val="InventoryEntry"/>
      </w:pPr>
      <w:r>
        <w:rPr>
          <w:b/>
          <w:color w:val="1F4E79"/>
        </w:rPr>
        <w:t>REF-009 — Fv 7</w:t>
      </w:r>
      <w:r>
        <w:t>. Destination 21.</w:t>
      </w:r>
    </w:p>
    <w:p>
      <w:pPr>
        <w:pStyle w:val="InventoryEntry"/>
      </w:pPr>
      <w:r>
        <w:rPr>
          <w:b/>
          <w:color w:val="1F4E79"/>
        </w:rPr>
        <w:t>REF-010 — Fv 8</w:t>
      </w:r>
      <w:r>
        <w:t>. Destination 34.</w:t>
      </w:r>
    </w:p>
    <w:p>
      <w:pPr>
        <w:pStyle w:val="InventoryEntry"/>
      </w:pPr>
      <w:r>
        <w:rPr>
          <w:b/>
          <w:color w:val="1F4E79"/>
        </w:rPr>
        <w:t>REF-011 — Fv 9</w:t>
      </w:r>
      <w:r>
        <w:t>. Destination 55.</w:t>
      </w:r>
    </w:p>
    <w:p>
      <w:pPr>
        <w:pStyle w:val="InventoryEntry"/>
      </w:pPr>
      <w:r>
        <w:rPr>
          <w:b/>
          <w:color w:val="1F4E79"/>
        </w:rPr>
        <w:t>REF-012 — Fv 10</w:t>
      </w:r>
      <w:r>
        <w:t>. Destination 89.</w:t>
      </w:r>
    </w:p>
    <w:p>
      <w:pPr>
        <w:pStyle w:val="InventoryEntry"/>
      </w:pPr>
      <w:r>
        <w:rPr>
          <w:b/>
          <w:color w:val="1F4E79"/>
        </w:rPr>
        <w:t>REF-013 — Fv 11</w:t>
      </w:r>
      <w:r>
        <w:t>. Destination 144.</w:t>
      </w:r>
    </w:p>
    <w:p>
      <w:pPr>
        <w:pStyle w:val="InventoryEntry"/>
      </w:pPr>
      <w:r>
        <w:rPr>
          <w:b/>
          <w:color w:val="1F4E79"/>
        </w:rPr>
        <w:t>REF-014 — Fv 12</w:t>
      </w:r>
      <w:r>
        <w:t>. Destination 233.</w:t>
      </w:r>
    </w:p>
    <w:p>
      <w:pPr>
        <w:pStyle w:val="InventoryEntry"/>
      </w:pPr>
      <w:r>
        <w:rPr>
          <w:b/>
          <w:color w:val="1F4E79"/>
        </w:rPr>
        <w:t>REF-015 — Fv 13</w:t>
      </w:r>
      <w:r>
        <w:t>. Destination 377.</w:t>
      </w:r>
    </w:p>
    <w:p>
      <w:pPr>
        <w:pStyle w:val="InventoryEntry"/>
      </w:pPr>
      <w:r>
        <w:rPr>
          <w:b/>
          <w:color w:val="1F4E79"/>
        </w:rPr>
        <w:t>REF-016 — Fv 14</w:t>
      </w:r>
      <w:r>
        <w:t>. Destination 610.</w:t>
      </w:r>
    </w:p>
    <w:p>
      <w:pPr>
        <w:pStyle w:val="InventoryEntry"/>
      </w:pPr>
      <w:r>
        <w:rPr>
          <w:b/>
          <w:color w:val="1F4E79"/>
        </w:rPr>
        <w:t>REF-017 — Fv 15</w:t>
      </w:r>
      <w:r>
        <w:t>. Destination 987.</w:t>
      </w:r>
    </w:p>
    <w:p>
      <w:pPr>
        <w:pStyle w:val="InventoryEntry"/>
      </w:pPr>
      <w:r>
        <w:rPr>
          <w:b/>
          <w:color w:val="1F4E79"/>
        </w:rPr>
        <w:t>REF-018 — Fv 16</w:t>
      </w:r>
      <w:r>
        <w:t>. Destination 1597.</w:t>
      </w:r>
    </w:p>
    <w:p>
      <w:pPr>
        <w:pStyle w:val="InventoryEntry"/>
      </w:pPr>
      <w:r>
        <w:rPr>
          <w:b/>
          <w:color w:val="1F4E79"/>
        </w:rPr>
        <w:t>REF-019 — Fv 17</w:t>
      </w:r>
      <w:r>
        <w:t>. Destination 2584.</w:t>
      </w:r>
    </w:p>
    <w:p>
      <w:pPr>
        <w:pStyle w:val="InventoryEntry"/>
      </w:pPr>
      <w:r>
        <w:rPr>
          <w:b/>
          <w:color w:val="1F4E79"/>
        </w:rPr>
        <w:t>REF-020 — Fv 18</w:t>
      </w:r>
      <w:r>
        <w:t>. Destination 4181.</w:t>
      </w:r>
    </w:p>
    <w:p>
      <w:pPr>
        <w:pStyle w:val="InventoryEntry"/>
      </w:pPr>
      <w:r>
        <w:rPr>
          <w:b/>
          <w:color w:val="1F4E79"/>
        </w:rPr>
        <w:t>REF-021 — Fv 19</w:t>
      </w:r>
      <w:r>
        <w:t>. Destination 6765.</w:t>
      </w:r>
    </w:p>
    <w:p>
      <w:pPr>
        <w:pStyle w:val="InventoryEntry"/>
      </w:pPr>
      <w:r>
        <w:rPr>
          <w:b/>
          <w:color w:val="1F4E79"/>
        </w:rPr>
        <w:t>REF-022 — Fv 20</w:t>
      </w:r>
      <w:r>
        <w:t>. Destination 10946.</w:t>
      </w:r>
    </w:p>
    <w:p>
      <w:pPr>
        <w:pStyle w:val="InventoryEntry"/>
      </w:pPr>
      <w:r>
        <w:rPr>
          <w:b/>
          <w:color w:val="1F4E79"/>
        </w:rPr>
        <w:t>REF-023 — Fv 21</w:t>
      </w:r>
      <w:r>
        <w:t>. Destination 17711.</w:t>
      </w:r>
    </w:p>
    <w:p>
      <w:pPr>
        <w:pStyle w:val="InventoryEntry"/>
      </w:pPr>
      <w:r>
        <w:rPr>
          <w:b/>
          <w:color w:val="1F4E79"/>
        </w:rPr>
        <w:t>REF-024 — Fv 22</w:t>
      </w:r>
      <w:r>
        <w:t>. Destination 28657.</w:t>
      </w:r>
    </w:p>
    <w:p>
      <w:pPr>
        <w:pStyle w:val="InventoryEntry"/>
      </w:pPr>
      <w:r>
        <w:rPr>
          <w:b/>
          <w:color w:val="1F4E79"/>
        </w:rPr>
        <w:t>REF-025 — Fv 23</w:t>
      </w:r>
      <w:r>
        <w:t>. Destination 46368.</w:t>
      </w:r>
    </w:p>
    <w:p>
      <w:pPr>
        <w:pStyle w:val="InventoryEntry"/>
      </w:pPr>
      <w:r>
        <w:rPr>
          <w:b/>
          <w:color w:val="1F4E79"/>
        </w:rPr>
        <w:t>REF-026 — Fv 24</w:t>
      </w:r>
      <w:r>
        <w:t>. Destination 75025.</w:t>
      </w:r>
    </w:p>
    <w:p>
      <w:pPr>
        <w:pStyle w:val="InventoryEntry"/>
      </w:pPr>
      <w:r>
        <w:rPr>
          <w:b/>
          <w:color w:val="1F4E79"/>
        </w:rPr>
        <w:t>REF-027 — Fv 25</w:t>
      </w:r>
      <w:r>
        <w:t>. Destination 121393.</w:t>
      </w:r>
    </w:p>
    <w:p>
      <w:pPr>
        <w:pStyle w:val="InventoryEntry"/>
      </w:pPr>
      <w:r>
        <w:rPr>
          <w:b/>
          <w:color w:val="1F4E79"/>
        </w:rPr>
        <w:t>REF-028 — Fv 26</w:t>
      </w:r>
      <w:r>
        <w:t>. Destination 196418.</w:t>
      </w:r>
    </w:p>
    <w:p>
      <w:pPr>
        <w:pStyle w:val="InventoryEntry"/>
      </w:pPr>
      <w:r>
        <w:rPr>
          <w:b/>
          <w:color w:val="1F4E79"/>
        </w:rPr>
        <w:t>REF-029 — Fv 27</w:t>
      </w:r>
      <w:r>
        <w:t>. Destination 317811.</w:t>
      </w:r>
    </w:p>
    <w:p>
      <w:pPr>
        <w:pStyle w:val="InventoryEntry"/>
      </w:pPr>
      <w:r>
        <w:rPr>
          <w:b/>
          <w:color w:val="1F4E79"/>
        </w:rPr>
        <w:t>REF-030 — Fv 28</w:t>
      </w:r>
      <w:r>
        <w:t>. Destination 514229.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entoryEntry">
    <w:name w:val="Inventory Entry"/>
    <w:pPr>
      <w:keepLines/>
      <w:spacing w:after="100"/>
      <w:ind w:left="259" w:hanging="259"/>
    </w:pPr>
    <w:rPr>
      <w:rFonts w:ascii="Liberation Sans" w:hAnsi="Liberation Sans"/>
      <w:sz w:val="19"/>
    </w:rPr>
  </w:style>
  <w:style w:type="paragraph" w:customStyle="1" w:styleId="EntryNote">
    <w:name w:val="Entry Note"/>
    <w:pPr>
      <w:keepLines/>
      <w:spacing w:after="60"/>
      <w:ind w:left="648" w:hanging="259"/>
    </w:pPr>
    <w:rPr>
      <w:rFonts w:ascii="Liberation Sans" w:hAnsi="Liberation Sans"/>
      <w:color w:val="37415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