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Detailed Description of the Fibonacci Inventory Documents</w:t>
      </w:r>
    </w:p>
    <w:p>
      <w:pPr>
        <w:pStyle w:val="Subtitle"/>
        <w:jc w:val="center"/>
      </w:pPr>
      <w:r>
        <w:t>A granular textual account of the contents, organization, identifiers, distinctions, and internal relationships of Documents 1 and 2</w:t>
      </w:r>
    </w:p>
    <w:p>
      <w:pPr>
        <w:jc w:val="center"/>
      </w:pPr>
      <w:r>
        <w:rPr>
          <w:b/>
          <w:color w:val="1F4E79"/>
          <w:sz w:val="19"/>
        </w:rPr>
        <w:t>Fv convention: Fv -1 -&gt; 0, Fv 0 -&gt; 1, Fv 1 -&gt; 1, continuing by addition.</w:t>
      </w:r>
    </w:p>
    <w:p>
      <w:pPr>
        <w:spacing w:after="140"/>
      </w:pPr>
      <w:r>
        <w:rPr>
          <w:i/>
          <w:color w:val="4B5563"/>
        </w:rPr>
        <w:t>This document contains descriptions of the two companion inventories. Its statements identify what appears in each document, how the entries are grouped, and what information each field contains.</w:t>
      </w:r>
    </w:p>
    <w:p>
      <w:pPr>
        <w:pStyle w:val="Heading1"/>
      </w:pPr>
      <w:r>
        <w:t>1. Document set and shared convention</w:t>
      </w:r>
    </w:p>
    <w:p>
      <w:pPr>
        <w:spacing w:after="100"/>
      </w:pPr>
      <w:r>
        <w:t>The document set consists of two inventories followed by this descriptive record. The first inventory is titled “Fibonacci Avoids and Error Inventory.” The second inventory is titled “Fibonacci Truth Inventory.” Both inventories use the same Fv indexing statement at the beginning of the document.</w:t>
      </w:r>
    </w:p>
    <w:p>
      <w:pPr>
        <w:spacing w:after="100"/>
      </w:pPr>
      <w:r>
        <w:t>The shared indexing statement places destination 0 at Fv -1, the first destination 1 at Fv 0, and the second destination 1 at Fv 1. All later destinations arise from the addition of the two immediately preceding destinations.</w:t>
      </w:r>
    </w:p>
    <w:p>
      <w:pPr>
        <w:spacing w:after="100"/>
      </w:pPr>
      <w:r>
        <w:t>The word “Fv” appears as the name of the process step. The word “destination” appears as the number reached at that step. This separation is present throughout the two inventories and prevents a step number from being mistaken for a sequence value.</w:t>
      </w:r>
    </w:p>
    <w:p>
      <w:pPr>
        <w:spacing w:after="100"/>
      </w:pPr>
      <w:r>
        <w:t>The two inventories use alphanumeric identifiers. Avoid entries begin with “AV-”. Truth entries begin with “TR-”. Reference entries in the first document appendix begin with “REF-”. Each identifier is followed by a short label and a sentence-level description.</w:t>
      </w:r>
    </w:p>
    <w:p>
      <w:pPr>
        <w:spacing w:after="100"/>
      </w:pPr>
      <w:r>
        <w:t>The short labels contain one or two words in nearly every entry. They function as compact names such as “Index Drift,” “Zero Omission,” “Golden Ratio,” “Ratio Update,” “Pixel Limit,” and “Arc Radius.”</w:t>
      </w:r>
    </w:p>
    <w:p>
      <w:pPr>
        <w:pStyle w:val="Heading1"/>
      </w:pPr>
      <w:r>
        <w:t>2. Document 1 title and opening material</w:t>
      </w:r>
    </w:p>
    <w:p>
      <w:pPr>
        <w:spacing w:after="100"/>
      </w:pPr>
      <w:r>
        <w:t>Document 1 opens with the title “Fibonacci Avoids and Error Inventory.” Its subtitle names errors, discrepancies, and failure modes associated with studying, drawing, charting, and explaining the Fibonacci sequence.</w:t>
      </w:r>
    </w:p>
    <w:p>
      <w:pPr>
        <w:spacing w:after="100"/>
      </w:pPr>
      <w:r>
        <w:t>An italic introductory paragraph states that each entry records a condition connected to mathematical error, indexing ambiguity, visual distortion, explanatory confusion, or rendering inaccuracy. The same paragraph states that the IDs remain stable within the document.</w:t>
      </w:r>
    </w:p>
    <w:p>
      <w:pPr>
        <w:spacing w:after="100"/>
      </w:pPr>
      <w:r>
        <w:t>The body of Document 1 contains one hundred avoid entries numbered AV-001 through AV-100. The entries are divided into seven thematic sections. A final appendix contains thirty canonical reference entries.</w:t>
      </w:r>
    </w:p>
    <w:p>
      <w:pPr>
        <w:spacing w:after="100"/>
      </w:pPr>
      <w:r>
        <w:t>Every avoid entry consists of a bold blue identifier and label followed by a plain-text description. The descriptions begin with the word “Avoid,” which marks the entry as a named error condition or failure pattern.</w:t>
      </w:r>
    </w:p>
    <w:p>
      <w:pPr>
        <w:pStyle w:val="Heading1"/>
      </w:pPr>
      <w:r>
        <w:t>3. Document 1, Section 1: indexing, labels, and terminology</w:t>
      </w:r>
    </w:p>
    <w:p>
      <w:pPr>
        <w:spacing w:after="100"/>
      </w:pPr>
      <w:r>
        <w:t>The first section contains fifteen entries, AV-001 through AV-015. These entries describe errors created by index shifts, omitted zero values, confusion between the two initial ones, mixed indexing systems, missing seed values, and ambiguity between steps and destinations.</w:t>
      </w:r>
    </w:p>
    <w:p>
      <w:pPr>
        <w:spacing w:after="100"/>
      </w:pPr>
      <w:r>
        <w:t>The section distinguishes the count of displayed destinations from the count of transitions. It records that Fv -1 through Fv 28 contains thirty destinations and twenty-nine adjacent transitions.</w:t>
      </w:r>
    </w:p>
    <w:p>
      <w:pPr>
        <w:spacing w:after="100"/>
      </w:pPr>
      <w:r>
        <w:t>The section includes conditions involving an incorrectly offset numerator or denominator in a ratio label, incomplete displayed ranges, skipped or duplicated ticks, lingering conventional F_n symbols, undefined early ratios, and decimals written as exact equalities.</w:t>
      </w:r>
    </w:p>
    <w:p>
      <w:pPr>
        <w:spacing w:after="100"/>
      </w:pPr>
      <w:r>
        <w:t>The indexing section treats notation errors as independent from arithmetic errors. A chart may contain numerically correct values while still assigning them to the wrong Fv labels; that condition is represented by entries such as “Index Drift,” “Convention Mixing,” and “Fraction Offset.”</w:t>
      </w:r>
    </w:p>
    <w:p>
      <w:pPr>
        <w:pStyle w:val="Heading1"/>
      </w:pPr>
      <w:r>
        <w:t>4. Document 1, Section 2: sequence values and recurrence</w:t>
      </w:r>
    </w:p>
    <w:p>
      <w:pPr>
        <w:spacing w:after="100"/>
      </w:pPr>
      <w:r>
        <w:t>The second section contains entries AV-016 through AV-027. Its subject is the arithmetic generation of the destination sequence and the visual representation of addition.</w:t>
      </w:r>
    </w:p>
    <w:p>
      <w:pPr>
        <w:spacing w:after="100"/>
      </w:pPr>
      <w:r>
        <w:t>The section names incorrect seed pairs, wrong object counts, mismatched source groups, incorrect arrows, number transcription errors, substituted values, and partial verification.</w:t>
      </w:r>
    </w:p>
    <w:p>
      <w:pPr>
        <w:spacing w:after="100"/>
      </w:pPr>
      <w:r>
        <w:t>Two entries retain image-specific examples from the uploaded decorative dot diagram: a six-object group appearing where destination 5 belongs, and an eighteen-object group appearing where destination 13 belongs.</w:t>
      </w:r>
    </w:p>
    <w:p>
      <w:pPr>
        <w:spacing w:after="100"/>
      </w:pPr>
      <w:r>
        <w:t>The section also records the difference between an exact integer destination and a bar height that has been rounded or rescaled for visual convenience. It closes with range and endpoint errors, including the omission of Fv 23 through Fv 28.</w:t>
      </w:r>
    </w:p>
    <w:p>
      <w:pPr>
        <w:pStyle w:val="Heading1"/>
      </w:pPr>
      <w:r>
        <w:t>5. Document 1, Section 3: ratios, limits, and time references</w:t>
      </w:r>
    </w:p>
    <w:p>
      <w:pPr>
        <w:spacing w:after="100"/>
      </w:pPr>
      <w:r>
        <w:t>The third section contains entries AV-028 through AV-045. It separates forward ratios from reciprocal ratios and separates both mathematical ratio families from the declared time metaphor.</w:t>
      </w:r>
    </w:p>
    <w:p>
      <w:pPr>
        <w:spacing w:after="100"/>
      </w:pPr>
      <w:r>
        <w:t>The forward ratio is represented by D_v divided by D_(v-1). Its limiting value is phi. The reciprocal ratio is represented by D_(v-1) divided by D_v. Its limiting value is 1 divided by phi.</w:t>
      </w:r>
    </w:p>
    <w:p>
      <w:pPr>
        <w:spacing w:after="100"/>
      </w:pPr>
      <w:r>
        <w:t>The section records the metaphorical labels Yesterday, Today, and Tomorrow as 1/phi, 1, and phi. It also records the error produced when Yesterday is placed on a forward-ratio curve or Tomorrow is placed on a reciprocal-ratio curve.</w:t>
      </w:r>
    </w:p>
    <w:p>
      <w:pPr>
        <w:spacing w:after="100"/>
      </w:pPr>
      <w:r>
        <w:t>Several entries distinguish exact equality from numerical approximation. Finite ratios of integer destinations are rational, whereas phi and 1/phi are irrational. This distinction appears in the entries “Exact Phi,” “Exact Yesterday,” “Decimal Truncation,” and “Rounding Sign.”</w:t>
      </w:r>
    </w:p>
    <w:p>
      <w:pPr>
        <w:spacing w:after="100"/>
      </w:pPr>
      <w:r>
        <w:t>The section includes separate entries for monotonicity, side alternation, signed error, absolute error, step-to-step swing, the ratio recurrence, and the asymptotic contraction factor.</w:t>
      </w:r>
    </w:p>
    <w:p>
      <w:pPr>
        <w:pStyle w:val="Heading1"/>
      </w:pPr>
      <w:r>
        <w:t>6. Document 1, Section 4: chart construction</w:t>
      </w:r>
    </w:p>
    <w:p>
      <w:pPr>
        <w:spacing w:after="100"/>
      </w:pPr>
      <w:r>
        <w:t>The fourth section contains entries AV-046 through AV-065. It describes chart-level discrepancies involving interpolation, discrete markers, axis identity, labels, boundaries, crowding, origin compression, logarithmic restrictions, scatter ordering, asymptotic reference lines, and bar scaling.</w:t>
      </w:r>
    </w:p>
    <w:p>
      <w:pPr>
        <w:spacing w:after="100"/>
      </w:pPr>
      <w:r>
        <w:t>The “Spline Fiction” entry describes the intermediate values, crossings, and extrema introduced by a smooth curve passing through discrete ratio points. The “Continuous Implication” and “Marker Loss” entries describe related visual effects created when integer-step observations resemble a continuous signal.</w:t>
      </w:r>
    </w:p>
    <w:p>
      <w:pPr>
        <w:spacing w:after="100"/>
      </w:pPr>
      <w:r>
        <w:t>Entries concerning axes separate destination values, forward ratios, reciprocal ratios, errors, and consecutive-pair coordinates. Generic labels such as “Value” and “Index” appear as examples of insufficient quantity identification.</w:t>
      </w:r>
    </w:p>
    <w:p>
      <w:pPr>
        <w:spacing w:after="100"/>
      </w:pPr>
      <w:r>
        <w:t>The section contains several scale-specific descriptions. These include a ratio point clipped at the lower plot edge, a y-range that excludes 0.618, early sequence values compressed near zero, a zero value excluded from a standard logarithmic axis, and later bars drawn with a different pixel-per-unit scale.</w:t>
      </w:r>
    </w:p>
    <w:p>
      <w:pPr>
        <w:pStyle w:val="Heading1"/>
      </w:pPr>
      <w:r>
        <w:t>7. Document 1, Section 5: pixel accuracy and rendering</w:t>
      </w:r>
    </w:p>
    <w:p>
      <w:pPr>
        <w:spacing w:after="100"/>
      </w:pPr>
      <w:r>
        <w:t>The fifth section contains entries AV-066 through AV-077. These entries describe discrepancies that arise between calculated coordinates and their rendered appearance.</w:t>
      </w:r>
    </w:p>
    <w:p>
      <w:pPr>
        <w:spacing w:after="100"/>
      </w:pPr>
      <w:r>
        <w:t>The section identifies manual pixel nudging, subpixel oscillations, the visible width of strokes, antialiasing, screenshot measurement, panel-to-panel scale drift, aspect-ratio distortion, shifted reference lines, cropped content, captured interface controls, inadequate raster resolution, and unchecked export transformations.</w:t>
      </w:r>
    </w:p>
    <w:p>
      <w:pPr>
        <w:spacing w:after="100"/>
      </w:pPr>
      <w:r>
        <w:t>The entries distinguish a numerical coordinate from the band of pixels occupied by a marker or line. They also distinguish source values from coordinate estimates taken from a screenshot.</w:t>
      </w:r>
    </w:p>
    <w:p>
      <w:pPr>
        <w:spacing w:after="100"/>
      </w:pPr>
      <w:r>
        <w:t>The screenshot-specific “UI Capture” entry corresponds to the visible overflow control in the dark webpage image. The “Hidden Crop” entry corresponds to formula definitions and lower notes cut off by screenshot boundaries.</w:t>
      </w:r>
    </w:p>
    <w:p>
      <w:pPr>
        <w:pStyle w:val="Heading1"/>
      </w:pPr>
      <w:r>
        <w:t>8. Document 1, Section 6: rectangles and spirals</w:t>
      </w:r>
    </w:p>
    <w:p>
      <w:pPr>
        <w:spacing w:after="100"/>
      </w:pPr>
      <w:r>
        <w:t>The sixth section contains entries AV-078 through AV-087. Its subject is the geometry of golden rectangles, Fibonacci squares, quarter-circle arcs, and spiral constructions.</w:t>
      </w:r>
    </w:p>
    <w:p>
      <w:pPr>
        <w:spacing w:after="100"/>
      </w:pPr>
      <w:r>
        <w:t>The section identifies rectangles whose aspect ratio differs from phi, subdivisions that are not squares, side lengths outside the Fibonacci progression, incorrect arc radii, misplaced arc centers, broken tangency, unlabeled tiles, recursive placement errors, and nonuniform resizing.</w:t>
      </w:r>
    </w:p>
    <w:p>
      <w:pPr>
        <w:spacing w:after="100"/>
      </w:pPr>
      <w:r>
        <w:t>The “Decorative Spiral” entry separates an exact square-and-quarter-circle construction from a freehand curve that merely resembles one. The entries preserve the distinction between a Fibonacci spiral approximation and the exact golden logarithmic spiral.</w:t>
      </w:r>
    </w:p>
    <w:p>
      <w:pPr>
        <w:pStyle w:val="Heading1"/>
      </w:pPr>
      <w:r>
        <w:t>9. Document 1, Section 7 and appendix</w:t>
      </w:r>
    </w:p>
    <w:p>
      <w:pPr>
        <w:spacing w:after="100"/>
      </w:pPr>
      <w:r>
        <w:t>The seventh section contains entries AV-088 through AV-100. These entries describe legend ambiguity, dependence on color alone, missing indexing declarations, missing formulas, absent destination and prior values, copied errors, panel disagreement, incomplete correction, detached formulas, overclaiming, aesthetic distortion, and incomplete auditing.</w:t>
      </w:r>
    </w:p>
    <w:p>
      <w:pPr>
        <w:spacing w:after="100"/>
      </w:pPr>
      <w:r>
        <w:t>The final entry, AV-100 “Missing Audit,” names sequence values, indexing, formulas, scales, labels, and rendering as separate audit categories.</w:t>
      </w:r>
    </w:p>
    <w:p>
      <w:pPr>
        <w:spacing w:after="100"/>
      </w:pPr>
      <w:r>
        <w:t>Appendix A follows the main inventory body. It contains thirty reference entries corresponding to Fv -1 through Fv 28. Each entry pairs one Fv label with its exact destination value.</w:t>
      </w:r>
    </w:p>
    <w:p>
      <w:pPr>
        <w:spacing w:after="100"/>
      </w:pPr>
      <w:r>
        <w:t>The appendix begins with REF-001 for Fv -1 and destination 0. It ends with REF-030 for Fv 28 and destination 514229.</w:t>
      </w:r>
    </w:p>
    <w:p>
      <w:pPr>
        <w:pStyle w:val="Heading1"/>
      </w:pPr>
      <w:r>
        <w:t>10. Document 2 title and entry structure</w:t>
      </w:r>
    </w:p>
    <w:p>
      <w:pPr>
        <w:spacing w:after="100"/>
      </w:pPr>
      <w:r>
        <w:t>Document 2 opens with the title “Fibonacci Truth Inventory.” Its subtitle identifies canonical values, relationships, verified facts, and image-specific observations.</w:t>
      </w:r>
    </w:p>
    <w:p>
      <w:pPr>
        <w:spacing w:after="100"/>
      </w:pPr>
      <w:r>
        <w:t>An introductory paragraph states that each inventory point has an ID, a one- or two-word label, and a concise factual description. It also states that mathematical facts and declared metaphor conventions appear as separate categories.</w:t>
      </w:r>
    </w:p>
    <w:p>
      <w:pPr>
        <w:spacing w:after="100"/>
      </w:pPr>
      <w:r>
        <w:t>The truth inventory is divided into eight numbered sections followed by a compact destination table. Its identifiers continue sequentially across all sections rather than restarting at each heading.</w:t>
      </w:r>
    </w:p>
    <w:p>
      <w:pPr>
        <w:spacing w:after="100"/>
      </w:pPr>
      <w:r>
        <w:t>The truth descriptions are declarative sentences. They record values, definitions, equations, limits, visual facts, geometric facts, and verified properties of the uploaded images.</w:t>
      </w:r>
    </w:p>
    <w:p>
      <w:pPr>
        <w:pStyle w:val="Heading1"/>
      </w:pPr>
      <w:r>
        <w:t>11. Document 2, Section 1: naming and indexing truths</w:t>
      </w:r>
    </w:p>
    <w:p>
      <w:pPr>
        <w:spacing w:after="100"/>
      </w:pPr>
      <w:r>
        <w:t>The first truth section contains TR-001 through TR-015. It defines Fv, D_v, the initial three labeled steps, the recurrence, the mapping to conventional indexing, range counts, sign and growth properties, adjacent-value terminology, and the unambiguous step-to-destination text form.</w:t>
      </w:r>
    </w:p>
    <w:p>
      <w:pPr>
        <w:spacing w:after="100"/>
      </w:pPr>
      <w:r>
        <w:t>The conventional-index mapping states that D_v equals conventional F_(v+1) when conventional Fibonacci indexing begins at F_0=0 and F_1=1.</w:t>
      </w:r>
    </w:p>
    <w:p>
      <w:pPr>
        <w:spacing w:after="100"/>
      </w:pPr>
      <w:r>
        <w:t>The section records that all destinations in the stated range are nonnegative integers and that strict increase begins after the duplicated pair of ones.</w:t>
      </w:r>
    </w:p>
    <w:p>
      <w:pPr>
        <w:pStyle w:val="Heading1"/>
      </w:pPr>
      <w:r>
        <w:t>12. Document 2, Section 2: destination truths</w:t>
      </w:r>
    </w:p>
    <w:p>
      <w:pPr>
        <w:spacing w:after="100"/>
      </w:pPr>
      <w:r>
        <w:t>The second truth section contains one entry for every Fv step from -1 through 28. Each entry has a label of the form “Step v” and a description of the form “Fv v has destination value.”</w:t>
      </w:r>
    </w:p>
    <w:p>
      <w:pPr>
        <w:spacing w:after="100"/>
      </w:pPr>
      <w:r>
        <w:t>This section contains the complete destination sequence 0, 1, 1, 2, 3, 5, 8, 13, 21, 34, 55, 89, 144, 233, 377, 610, 987, 1597, 2584, 4181, 6765, 10946, 17711, 28657, 46368, 75025, 121393, 196418, 317811, and 514229.</w:t>
      </w:r>
    </w:p>
    <w:p>
      <w:pPr>
        <w:spacing w:after="100"/>
      </w:pPr>
      <w:r>
        <w:t>Each destination is represented once under its Fv label, including the two separate entries whose destination is 1.</w:t>
      </w:r>
    </w:p>
    <w:p>
      <w:pPr>
        <w:pStyle w:val="Heading1"/>
      </w:pPr>
      <w:r>
        <w:t>13. Document 2, Section 3: forward ratios</w:t>
      </w:r>
    </w:p>
    <w:p>
      <w:pPr>
        <w:spacing w:after="100"/>
      </w:pPr>
      <w:r>
        <w:t>The third truth section contains one entry for each defined forward ratio from Fv 1 through Fv 28.</w:t>
      </w:r>
    </w:p>
    <w:p>
      <w:pPr>
        <w:spacing w:after="100"/>
      </w:pPr>
      <w:r>
        <w:t>Every ratio entry contains the step number, symbolic relation R_v=D_v/D_(v-1), exact integer numerator, exact integer denominator, and a decimal rounded to twelve places.</w:t>
      </w:r>
    </w:p>
    <w:p>
      <w:pPr>
        <w:spacing w:after="100"/>
      </w:pPr>
      <w:r>
        <w:t>The section begins with R_1=1/1=1.000000000000 and R_2=2/1=2.000000000000. It continues through the alternating approximations to phi and ends with the ratio 514229/317811 at Fv 28.</w:t>
      </w:r>
    </w:p>
    <w:p>
      <w:pPr>
        <w:spacing w:after="100"/>
      </w:pPr>
      <w:r>
        <w:t>The ratio entries encode both the current destination and its prior destination, so the arithmetic source of every plotted ratio remains present in text.</w:t>
      </w:r>
    </w:p>
    <w:p>
      <w:pPr>
        <w:pStyle w:val="Heading1"/>
      </w:pPr>
      <w:r>
        <w:t>14. Document 2, Section 4: reciprocal sample</w:t>
      </w:r>
    </w:p>
    <w:p>
      <w:pPr>
        <w:spacing w:after="100"/>
      </w:pPr>
      <w:r>
        <w:t>The fourth truth section contains reciprocal-ratio entries for Fv 1 through Fv 12.</w:t>
      </w:r>
    </w:p>
    <w:p>
      <w:pPr>
        <w:spacing w:after="100"/>
      </w:pPr>
      <w:r>
        <w:t>Each reciprocal entry contains Q_v=D_(v-1)/D_v, the exact integer fraction, and a twelve-place decimal.</w:t>
      </w:r>
    </w:p>
    <w:p>
      <w:pPr>
        <w:spacing w:after="100"/>
      </w:pPr>
      <w:r>
        <w:t>The first reciprocal ratio is 1. The second is 1/2. The later values alternate around and approach 1/phi.</w:t>
      </w:r>
    </w:p>
    <w:p>
      <w:pPr>
        <w:spacing w:after="100"/>
      </w:pPr>
      <w:r>
        <w:t>The reciprocal section is explicitly labeled as a sample rather than the complete Fv 1 through Fv 28 reciprocal inventory.</w:t>
      </w:r>
    </w:p>
    <w:p>
      <w:pPr>
        <w:pStyle w:val="Heading1"/>
      </w:pPr>
      <w:r>
        <w:t>15. Document 2, Section 5: limits, errors, and metaphor facts</w:t>
      </w:r>
    </w:p>
    <w:p>
      <w:pPr>
        <w:spacing w:after="100"/>
      </w:pPr>
      <w:r>
        <w:t>The fifth truth section records the numerical definitions of phi and 1/phi, the forward and reciprocal limits, the ratio recurrence, and the signed-error identity.</w:t>
      </w:r>
    </w:p>
    <w:p>
      <w:pPr>
        <w:spacing w:after="100"/>
      </w:pPr>
      <w:r>
        <w:t>Separate entries record alternating error sign, decreasing error magnitude, and the limiting contraction factor 1/phi squared.</w:t>
      </w:r>
    </w:p>
    <w:p>
      <w:pPr>
        <w:spacing w:after="100"/>
      </w:pPr>
      <w:r>
        <w:t>Rational finite ratios and irrational limiting constants appear in separate entries. Two “No Equality” entries state that the finite forward and reciprocal ratios never equal their irrational limits exactly.</w:t>
      </w:r>
    </w:p>
    <w:p>
      <w:pPr>
        <w:spacing w:after="100"/>
      </w:pPr>
      <w:r>
        <w:t>The time-reference entries state that the declared metaphor assigns Today to 1, Yesterday to 1/phi, and Tomorrow to phi. A “Metaphor Status” entry distinguishes the assignment from the recurrence itself.</w:t>
      </w:r>
    </w:p>
    <w:p>
      <w:pPr>
        <w:spacing w:after="100"/>
      </w:pPr>
      <w:r>
        <w:t>Additional entries record unequal linear spacing, the exact unity values at the first forward and reciprocal ratios, ratio domains, signed error, absolute error, and step swing.</w:t>
      </w:r>
    </w:p>
    <w:p>
      <w:pPr>
        <w:pStyle w:val="Heading1"/>
      </w:pPr>
      <w:r>
        <w:t>16. Document 2, Sections 6 and 7: visual and geometric facts</w:t>
      </w:r>
    </w:p>
    <w:p>
      <w:pPr>
        <w:spacing w:after="100"/>
      </w:pPr>
      <w:r>
        <w:t>The sixth truth section contains statements about discrete data, straight connecting segments, spline interpolation, axis identity, raster resolution, stroke width, decimal rounding, error insets, zero-height bars, logarithmic axes, early-value compression, consecutive-pair coordinates, limiting slope, bar scales, panel consistency, interface elements, cropping, source values, and approximation notation.</w:t>
      </w:r>
    </w:p>
    <w:p>
      <w:pPr>
        <w:spacing w:after="100"/>
      </w:pPr>
      <w:r>
        <w:t>The seventh truth section contains statements about golden-rectangle aspect ratio, square equality, Fibonacci side lengths, quarter-circle arcs, arc radii, arc centers, tangent joins, the common Fibonacci spiral approximation, the distinct exact golden spiral, and uniform versus nonuniform resizing.</w:t>
      </w:r>
    </w:p>
    <w:p>
      <w:pPr>
        <w:spacing w:after="100"/>
      </w:pPr>
      <w:r>
        <w:t>The geometric section separates numerical side-length relationships from visual resemblance. It also separates a piecewise circular construction from a logarithmic spiral.</w:t>
      </w:r>
    </w:p>
    <w:p>
      <w:pPr>
        <w:pStyle w:val="Heading1"/>
      </w:pPr>
      <w:r>
        <w:t>17. Document 2, Section 8: uploaded-image facts</w:t>
      </w:r>
    </w:p>
    <w:p>
      <w:pPr>
        <w:spacing w:after="100"/>
      </w:pPr>
      <w:r>
        <w:t>The eighth truth section records verified properties of the seven uploaded images. The entries identify formulas that are correct, tables whose visible values are correct, panels whose data are internally consistent, and specific discrepancies that remain factual observations about the images.</w:t>
      </w:r>
    </w:p>
    <w:p>
      <w:pPr>
        <w:spacing w:after="100"/>
      </w:pPr>
      <w:r>
        <w:t>The dark webpage screenshot is recorded as containing a correct ratio recurrence, a correct signed-error identity, and a correct asymptotic contraction statement.</w:t>
      </w:r>
    </w:p>
    <w:p>
      <w:pPr>
        <w:spacing w:after="100"/>
      </w:pPr>
      <w:r>
        <w:t>The white infographic is recorded as having a declared F_0=1, F_1=1 convention and numerically correct visible destination and ratio entries.</w:t>
      </w:r>
    </w:p>
    <w:p>
      <w:pPr>
        <w:spacing w:after="100"/>
      </w:pPr>
      <w:r>
        <w:t>The decorative four-panel image is recorded as correctly depicting its first two additions while containing later dot-count, bar-scale, rectangle, and axis problems.</w:t>
      </w:r>
    </w:p>
    <w:p>
      <w:pPr>
        <w:spacing w:after="100"/>
      </w:pPr>
      <w:r>
        <w:t>The blue ratio chart, consecutive-pair scatter plot, destination bar chart, and destination line chart are recorded as numerically consistent with conventional Fibonacci indexing over their visible ranges. Their mapping into Fv labels is also recorded.</w:t>
      </w:r>
    </w:p>
    <w:p>
      <w:pPr>
        <w:spacing w:after="100"/>
      </w:pPr>
      <w:r>
        <w:t>The final image-specific truth identifies the omitted x-axis label 22 in the line chart and distinguishes its twenty-four displayed destinations from its twenty-three transitions.</w:t>
      </w:r>
    </w:p>
    <w:p>
      <w:pPr>
        <w:pStyle w:val="Heading1"/>
      </w:pPr>
      <w:r>
        <w:t>18. Document 2 appendix</w:t>
      </w:r>
    </w:p>
    <w:p>
      <w:pPr>
        <w:spacing w:after="100"/>
      </w:pPr>
      <w:r>
        <w:t>Appendix A follows the main inventory body and contains a three-column table labeled “Fv step,” “Destination,” and “Conventional index.”</w:t>
      </w:r>
    </w:p>
    <w:p>
      <w:pPr>
        <w:spacing w:after="100"/>
      </w:pPr>
      <w:r>
        <w:t>The header row is shaded and repeats across pages when pagination requires it. The body contains one row for every Fv step from -1 through 28.</w:t>
      </w:r>
    </w:p>
    <w:p>
      <w:pPr>
        <w:spacing w:after="100"/>
      </w:pPr>
      <w:r>
        <w:t>The conventional-index column displays F_0 through F_29 in correspondence with Fv -1 through Fv 28.</w:t>
      </w:r>
    </w:p>
    <w:p>
      <w:pPr>
        <w:spacing w:after="100"/>
      </w:pPr>
      <w:r>
        <w:t>The table restates the destination sequence in a compact format that differs from the sentence-based inventory entries while preserving the same values.</w:t>
      </w:r>
    </w:p>
    <w:p>
      <w:pPr>
        <w:pStyle w:val="Heading1"/>
      </w:pPr>
      <w:r>
        <w:t>19. Relationship between the two inventories</w:t>
      </w:r>
    </w:p>
    <w:p>
      <w:pPr>
        <w:spacing w:after="100"/>
      </w:pPr>
      <w:r>
        <w:t>Document 1 and Document 2 describe the same subject from opposite statement types. Document 1 names deviations, ambiguities, distortions, and failure conditions. Document 2 names values, definitions, equations, limits, rendering facts, geometric facts, and verified observations.</w:t>
      </w:r>
    </w:p>
    <w:p>
      <w:pPr>
        <w:spacing w:after="100"/>
      </w:pPr>
      <w:r>
        <w:t>Several topics occur in paired form. “Index Drift” in Document 1 corresponds to the fixed Fv mapping in Document 2. “Ratio Reversal” corresponds to the separate forward and reciprocal ratio definitions. “Pixel Nudging” corresponds to the truth about subpixel resolution. “Golden Claim” corresponds to the exact golden-rectangle aspect ratio.</w:t>
      </w:r>
    </w:p>
    <w:p>
      <w:pPr>
        <w:spacing w:after="100"/>
      </w:pPr>
      <w:r>
        <w:t>The two documents share the complete Fv destination reference. Document 1 presents it in thirty appendix entries. Document 2 presents it in thirty truth entries and again in a compact table.</w:t>
      </w:r>
    </w:p>
    <w:p>
      <w:pPr>
        <w:spacing w:after="100"/>
      </w:pPr>
      <w:r>
        <w:t>The image-specific content is distributed differently. Document 1 records image-derived issues among broad error categories. Document 2 groups verified image facts in a dedicated section.</w:t>
      </w:r>
    </w:p>
    <w:p>
      <w:pPr>
        <w:spacing w:after="100"/>
      </w:pPr>
      <w:r>
        <w:t>The identifiers create distinct namespaces. AV identifiers refer only to avoid conditions. TR identifiers refer only to truth statements. REF identifiers refer only to the canonical appendix in Document 1.</w:t>
      </w:r>
    </w:p>
    <w:p>
      <w:pPr>
        <w:pStyle w:val="Heading1"/>
      </w:pPr>
      <w:r>
        <w:t>20. Typography, pagination, and visual structure</w:t>
      </w:r>
    </w:p>
    <w:p>
      <w:pPr>
        <w:spacing w:after="100"/>
      </w:pPr>
      <w:r>
        <w:t>All three documents use a centered title, a centered subtitle, and a centered blue convention statement near the beginning.</w:t>
      </w:r>
    </w:p>
    <w:p>
      <w:pPr>
        <w:spacing w:after="100"/>
      </w:pPr>
      <w:r>
        <w:t>Section headings are blue, bold, and larger than body text. Inventory identifiers and labels are bold and blue. Descriptions appear in dark body text.</w:t>
      </w:r>
    </w:p>
    <w:p>
      <w:pPr>
        <w:spacing w:after="100"/>
      </w:pPr>
      <w:r>
        <w:t>The page margins are approximately three quarters of an inch. The body font is Liberation Sans. Page numbers appear centered in the footer.</w:t>
      </w:r>
    </w:p>
    <w:p>
      <w:pPr>
        <w:spacing w:after="100"/>
      </w:pPr>
      <w:r>
        <w:t>Inventory entries use a hanging-indent structure. The identifier and short label occupy the beginning of the line, while longer descriptions wrap beneath the description area rather than beneath the left page margin.</w:t>
      </w:r>
    </w:p>
    <w:p>
      <w:pPr>
        <w:spacing w:after="100"/>
      </w:pPr>
      <w:r>
        <w:t>The appendices follow the main inventory bodies under their own headings. The documents contain text and tables only; no uploaded image is embedded in the files.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Liberation Sans" w:hAnsi="Liberation San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365F91"/>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iberation Sans" w:hAnsi="Liberation Sans"/>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4B556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ventoryEntry">
    <w:name w:val="Inventory Entry"/>
    <w:pPr>
      <w:keepLines/>
      <w:spacing w:after="100"/>
      <w:ind w:left="259" w:hanging="259"/>
    </w:pPr>
    <w:rPr>
      <w:rFonts w:ascii="Liberation Sans" w:hAnsi="Liberation Sans"/>
      <w:sz w:val="19"/>
    </w:rPr>
  </w:style>
  <w:style w:type="paragraph" w:customStyle="1" w:styleId="EntryNote">
    <w:name w:val="Entry Note"/>
    <w:pPr>
      <w:keepLines/>
      <w:spacing w:after="60"/>
      <w:ind w:left="648" w:hanging="259"/>
    </w:pPr>
    <w:rPr>
      <w:rFonts w:ascii="Liberation Sans" w:hAnsi="Liberation Sans"/>
      <w:color w:val="374151"/>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