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mprehensive-report"/>
    <w:p>
      <w:pPr>
        <w:pStyle w:val="Heading1"/>
      </w:pPr>
      <w:r>
        <w:t xml:space="preserve">Comprehensive Report</w:t>
      </w:r>
    </w:p>
    <w:bookmarkStart w:id="20" w:name="executive-summary"/>
    <w:p>
      <w:pPr>
        <w:pStyle w:val="Heading2"/>
      </w:pPr>
      <w:r>
        <w:t xml:space="preserve">1. Executive summary</w:t>
      </w:r>
    </w:p>
    <w:p>
      <w:pPr>
        <w:pStyle w:val="FirstParagraph"/>
      </w:pPr>
      <w:r>
        <w:t xml:space="preserve">The three documents form a coordinated reference system for explaining, checking, and visually presenting the Fibonacci sequence.</w:t>
      </w:r>
    </w:p>
    <w:p>
      <w:pPr>
        <w:pStyle w:val="Compact"/>
        <w:numPr>
          <w:ilvl w:val="0"/>
          <w:numId w:val="1001"/>
        </w:numPr>
      </w:pPr>
      <w:r>
        <w:rPr>
          <w:b/>
          <w:bCs/>
        </w:rPr>
        <w:t xml:space="preserve">Fibonacci Avoids and Error Inventory</w:t>
      </w:r>
      <w:r>
        <w:t xml:space="preserve"> </w:t>
      </w:r>
      <w:r>
        <w:t xml:space="preserve">is a negative or diagnostic standard. It identifies 100 errors, ambiguities, distortions, and failure modes, followed by a 30-entry canonical reference appendix.</w:t>
      </w:r>
    </w:p>
    <w:p>
      <w:pPr>
        <w:pStyle w:val="Compact"/>
        <w:numPr>
          <w:ilvl w:val="0"/>
          <w:numId w:val="1001"/>
        </w:numPr>
      </w:pPr>
      <w:r>
        <w:rPr>
          <w:b/>
          <w:bCs/>
        </w:rPr>
        <w:t xml:space="preserve">Fibonacci Truth Inventory</w:t>
      </w:r>
      <w:r>
        <w:t xml:space="preserve"> </w:t>
      </w:r>
      <w:r>
        <w:t xml:space="preserve">is the positive standard. It establishes 163 definitions, values, equations, limits, visualization principles, geometric facts, and observations about seven previously supplied images. It ends with a compact 30-row destination table.</w:t>
      </w:r>
    </w:p>
    <w:p>
      <w:pPr>
        <w:pStyle w:val="Compact"/>
        <w:numPr>
          <w:ilvl w:val="0"/>
          <w:numId w:val="1001"/>
        </w:numPr>
      </w:pPr>
      <w:r>
        <w:rPr>
          <w:b/>
          <w:bCs/>
        </w:rPr>
        <w:t xml:space="preserve">Detailed Description of the Fibonacci Inventory Documents</w:t>
      </w:r>
      <w:r>
        <w:t xml:space="preserve"> </w:t>
      </w:r>
      <w:r>
        <w:t xml:space="preserve">is a metadata and cross-reference document. It explains the organization, identifiers, subject matter, relationships, typography, and pagination of the first two documents.</w:t>
      </w:r>
    </w:p>
    <w:p>
      <w:pPr>
        <w:pStyle w:val="FirstParagraph"/>
      </w:pPr>
      <w:r>
        <w:t xml:space="preserve">The documents consistently distinguish a</w:t>
      </w:r>
      <w:r>
        <w:t xml:space="preserve"> </w:t>
      </w:r>
      <w:r>
        <w:rPr>
          <w:b/>
          <w:bCs/>
        </w:rPr>
        <w:t xml:space="preserve">process step</w:t>
      </w:r>
      <w:r>
        <w:t xml:space="preserve">, written as</w:t>
      </w:r>
      <w:r>
        <w:t xml:space="preserve"> </w:t>
      </w:r>
      <w:r>
        <w:rPr>
          <w:rStyle w:val="VerbatimChar"/>
        </w:rPr>
        <w:t xml:space="preserve">Fv v</w:t>
      </w:r>
      <w:r>
        <w:t xml:space="preserve">, from its associated</w:t>
      </w:r>
      <w:r>
        <w:t xml:space="preserve"> </w:t>
      </w:r>
      <w:r>
        <w:rPr>
          <w:b/>
          <w:bCs/>
        </w:rPr>
        <w:t xml:space="preserve">destination value</w:t>
      </w:r>
      <w:r>
        <w:t xml:space="preserve">, written as (D_v). Their common indexing convention is:</w:t>
      </w:r>
    </w:p>
    <w:p>
      <w:pPr>
        <w:pStyle w:val="BodyText"/>
      </w:pPr>
      <w:r>
        <w:t xml:space="preserve">[</w:t>
      </w:r>
      <w:r>
        <w:t xml:space="preserve"> </w:t>
      </w:r>
      <w:r>
        <w:t xml:space="preserve">Fv -1</w:t>
      </w:r>
      <w:r>
        <w:t xml:space="preserve"> </w:t>
      </w:r>
      <w:r>
        <w:t xml:space="preserve">,</w:t>
      </w:r>
      <w:r>
        <w:t xml:space="preserve"> </w:t>
      </w:r>
      <w:r>
        <w:t xml:space="preserve">Fv 0</w:t>
      </w:r>
      <w:r>
        <w:t xml:space="preserve"> </w:t>
      </w:r>
      <w:r>
        <w:t xml:space="preserve">,</w:t>
      </w:r>
      <w:r>
        <w:t xml:space="preserve"> </w:t>
      </w:r>
      <w:r>
        <w:t xml:space="preserve">Fv 1</w:t>
      </w:r>
      <w:r>
        <w:t xml:space="preserve"> </w:t>
      </w:r>
      <w:r>
        <w:t xml:space="preserve">,</w:t>
      </w:r>
      <w:r>
        <w:t xml:space="preserve"> </w:t>
      </w:r>
      <w:r>
        <w:t xml:space="preserve">]</w:t>
      </w:r>
    </w:p>
    <w:p>
      <w:pPr>
        <w:pStyle w:val="BodyText"/>
      </w:pPr>
      <w:r>
        <w:t xml:space="preserve">with every later destination obtained by adding the two immediately preceding destinations. This convention shifts conventional Fibonacci indexing by one: (D_v=F_{v+1}), where conventional indexing begins with (F_0=0) and (F_1=1).</w:t>
      </w:r>
    </w:p>
    <w:p>
      <w:pPr>
        <w:pStyle w:val="BodyText"/>
      </w:pPr>
      <w:r>
        <w:t xml:space="preserve">The set is internally coherent. The first document says what must be avoided, the second says what is true, and the third explains how those two systems correspond. The documents are particularly well suited to auditing educational charts, infographics, diagrams, and mathematical explanations.</w:t>
      </w:r>
    </w:p>
    <w:p>
      <w:r>
        <w:pict>
          <v:rect style="width:0;height:1.5pt" o:hralign="center" o:hrstd="t" o:hr="t"/>
        </w:pict>
      </w:r>
    </w:p>
    <w:bookmarkEnd w:id="20"/>
    <w:bookmarkStart w:id="21" w:name="document-set-at-a-glance"/>
    <w:p>
      <w:pPr>
        <w:pStyle w:val="Heading2"/>
      </w:pPr>
      <w:r>
        <w:t xml:space="preserve">2. Document set at a glance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Document</w:t>
            </w:r>
          </w:p>
        </w:tc>
        <w:tc>
          <w:tcPr/>
          <w:p>
            <w:pPr>
              <w:pStyle w:val="Compact"/>
            </w:pPr>
            <w:r>
              <w:t xml:space="preserve">Main function</w:t>
            </w:r>
          </w:p>
        </w:tc>
        <w:tc>
          <w:tcPr/>
          <w:p>
            <w:pPr>
              <w:pStyle w:val="Compact"/>
              <w:jc w:val="right"/>
            </w:pPr>
            <w:r>
              <w:t xml:space="preserve">Main inventory</w:t>
            </w:r>
          </w:p>
        </w:tc>
        <w:tc>
          <w:tcPr/>
          <w:p>
            <w:pPr>
              <w:pStyle w:val="Compact"/>
            </w:pPr>
            <w:r>
              <w:t xml:space="preserve">Organization</w:t>
            </w:r>
          </w:p>
        </w:tc>
      </w:tr>
      <w:tr>
        <w:tc>
          <w:tcPr/>
          <w:p>
            <w:pPr>
              <w:pStyle w:val="Compact"/>
            </w:pPr>
            <w:r>
              <w:t xml:space="preserve">Fibonacci Avoids and Error Inventory</w:t>
            </w:r>
          </w:p>
        </w:tc>
        <w:tc>
          <w:tcPr/>
          <w:p>
            <w:pPr>
              <w:pStyle w:val="Compact"/>
            </w:pPr>
            <w:r>
              <w:t xml:space="preserve">Identifies errors and failure modes</w:t>
            </w:r>
          </w:p>
        </w:tc>
        <w:tc>
          <w:tcPr/>
          <w:p>
            <w:pPr>
              <w:pStyle w:val="Compact"/>
              <w:jc w:val="right"/>
            </w:pPr>
            <w:r>
              <w:t xml:space="preserve">AV-001–AV-100</w:t>
            </w:r>
          </w:p>
        </w:tc>
        <w:tc>
          <w:tcPr/>
          <w:p>
            <w:pPr>
              <w:pStyle w:val="Compact"/>
            </w:pPr>
            <w:r>
              <w:t xml:space="preserve">Seven sections plus 30 canonical references</w:t>
            </w:r>
          </w:p>
        </w:tc>
      </w:tr>
      <w:tr>
        <w:tc>
          <w:tcPr/>
          <w:p>
            <w:pPr>
              <w:pStyle w:val="Compact"/>
            </w:pPr>
            <w:r>
              <w:t xml:space="preserve">Fibonacci Truth Inventory</w:t>
            </w:r>
          </w:p>
        </w:tc>
        <w:tc>
          <w:tcPr/>
          <w:p>
            <w:pPr>
              <w:pStyle w:val="Compact"/>
            </w:pPr>
            <w:r>
              <w:t xml:space="preserve">Establishes correct facts and standards</w:t>
            </w:r>
          </w:p>
        </w:tc>
        <w:tc>
          <w:tcPr/>
          <w:p>
            <w:pPr>
              <w:pStyle w:val="Compact"/>
              <w:jc w:val="right"/>
            </w:pPr>
            <w:r>
              <w:t xml:space="preserve">TR-001–TR-163</w:t>
            </w:r>
          </w:p>
        </w:tc>
        <w:tc>
          <w:tcPr/>
          <w:p>
            <w:pPr>
              <w:pStyle w:val="Compact"/>
            </w:pPr>
            <w:r>
              <w:t xml:space="preserve">Eight sections plus a 30-row destination table</w:t>
            </w:r>
          </w:p>
        </w:tc>
      </w:tr>
      <w:tr>
        <w:tc>
          <w:tcPr/>
          <w:p>
            <w:pPr>
              <w:pStyle w:val="Compact"/>
            </w:pPr>
            <w:r>
              <w:t xml:space="preserve">Detailed Description</w:t>
            </w:r>
          </w:p>
        </w:tc>
        <w:tc>
          <w:tcPr/>
          <w:p>
            <w:pPr>
              <w:pStyle w:val="Compact"/>
            </w:pPr>
            <w:r>
              <w:t xml:space="preserve">Explains and cross-references the other two documents</w:t>
            </w:r>
          </w:p>
        </w:tc>
        <w:tc>
          <w:tcPr/>
          <w:p>
            <w:pPr>
              <w:pStyle w:val="Compact"/>
              <w:jc w:val="right"/>
            </w:pPr>
            <w:r>
              <w:t xml:space="preserve">Narrative sections 1–20</w:t>
            </w:r>
          </w:p>
        </w:tc>
        <w:tc>
          <w:tcPr/>
          <w:p>
            <w:pPr>
              <w:pStyle w:val="Compact"/>
            </w:pPr>
            <w:r>
              <w:t xml:space="preserve">Shared conventions, section descriptions, relationships, and formatting</w:t>
            </w:r>
          </w:p>
        </w:tc>
      </w:tr>
    </w:tbl>
    <w:p>
      <w:pPr>
        <w:pStyle w:val="BodyText"/>
      </w:pPr>
      <w:r>
        <w:t xml:space="preserve">The third document explicitly describes the first two as opposite statement types: the Avoids Inventory names deviations and distortions, while the Truth Inventory names correct values, definitions, equations, limits, rendering facts, geometric facts, and verified observations. It also defines three separate identifier namespaces:</w:t>
      </w:r>
      <w:r>
        <w:t xml:space="preserve"> </w:t>
      </w:r>
      <w:r>
        <w:rPr>
          <w:rStyle w:val="VerbatimChar"/>
        </w:rPr>
        <w:t xml:space="preserve">AV-</w:t>
      </w:r>
      <w:r>
        <w:t xml:space="preserve">,</w:t>
      </w:r>
      <w:r>
        <w:t xml:space="preserve"> </w:t>
      </w:r>
      <w:r>
        <w:rPr>
          <w:rStyle w:val="VerbatimChar"/>
        </w:rPr>
        <w:t xml:space="preserve">TR-</w:t>
      </w:r>
      <w:r>
        <w:t xml:space="preserve">, and</w:t>
      </w:r>
      <w:r>
        <w:t xml:space="preserve"> </w:t>
      </w:r>
      <w:r>
        <w:rPr>
          <w:rStyle w:val="VerbatimChar"/>
        </w:rPr>
        <w:t xml:space="preserve">REF-</w:t>
      </w:r>
      <w:r>
        <w:t xml:space="preserve">.</w:t>
      </w:r>
    </w:p>
    <w:p>
      <w:r>
        <w:pict>
          <v:rect style="width:0;height:1.5pt" o:hralign="center" o:hrstd="t" o:hr="t"/>
        </w:pict>
      </w:r>
    </w:p>
    <w:bookmarkEnd w:id="21"/>
    <w:bookmarkEnd w:id="22"/>
    <w:bookmarkStart w:id="41" w:name="Xb244b9e0b8d56f96e87c38c37b03ea2995cf8bc"/>
    <w:p>
      <w:pPr>
        <w:pStyle w:val="Heading1"/>
      </w:pPr>
      <w:r>
        <w:t xml:space="preserve">Part I: Fibonacci Avoids and Error Inventory</w:t>
      </w:r>
    </w:p>
    <w:bookmarkStart w:id="24" w:name="purpose-and-structure"/>
    <w:p>
      <w:pPr>
        <w:pStyle w:val="Heading2"/>
      </w:pPr>
      <w:r>
        <w:t xml:space="preserve">3. Purpose and structure</w:t>
      </w:r>
    </w:p>
    <w:p>
      <w:pPr>
        <w:pStyle w:val="FirstParagraph"/>
      </w:pPr>
      <w:r>
        <w:t xml:space="preserve">The first document is titled</w:t>
      </w:r>
      <w:r>
        <w:t xml:space="preserve"> </w:t>
      </w:r>
      <w:r>
        <w:rPr>
          <w:b/>
          <w:bCs/>
        </w:rPr>
        <w:t xml:space="preserve">Fibonacci Avoids and Error Inventory</w:t>
      </w:r>
      <w:r>
        <w:t xml:space="preserve"> </w:t>
      </w:r>
      <w:r>
        <w:t xml:space="preserve">and is subtitled as a catalog of errors, discrepancies, and failure modes in studying, drawing, charting, and explaining the Fibonacci sequence. Each entry begins with</w:t>
      </w:r>
      <w:r>
        <w:t xml:space="preserve"> </w:t>
      </w:r>
      <w:r>
        <w:t xml:space="preserve">“Avoid”</w:t>
      </w:r>
      <w:r>
        <w:t xml:space="preserve"> </w:t>
      </w:r>
      <w:r>
        <w:t xml:space="preserve">and identifies a condition that can cause mathematical error, indexing ambiguity, visual distortion, explanatory confusion, or rendering inaccuracy. Its identifiers are intended to remain stable.</w:t>
      </w:r>
    </w:p>
    <w:p>
      <w:pPr>
        <w:pStyle w:val="BodyText"/>
      </w:pPr>
      <w:r>
        <w:t xml:space="preserve">It contains:</w:t>
      </w:r>
    </w:p>
    <w:p>
      <w:pPr>
        <w:pStyle w:val="Compact"/>
        <w:numPr>
          <w:ilvl w:val="0"/>
          <w:numId w:val="1002"/>
        </w:numPr>
      </w:pPr>
      <w:r>
        <w:t xml:space="preserve">100 avoid entries, AV-001 through AV-100;</w:t>
      </w:r>
    </w:p>
    <w:p>
      <w:pPr>
        <w:pStyle w:val="Compact"/>
        <w:numPr>
          <w:ilvl w:val="0"/>
          <w:numId w:val="1002"/>
        </w:numPr>
      </w:pPr>
      <w:r>
        <w:t xml:space="preserve">seven thematic sections;</w:t>
      </w:r>
    </w:p>
    <w:p>
      <w:pPr>
        <w:pStyle w:val="Compact"/>
        <w:numPr>
          <w:ilvl w:val="0"/>
          <w:numId w:val="1002"/>
        </w:numPr>
      </w:pPr>
      <w:r>
        <w:t xml:space="preserve">a 30-entry appendix, REF-001 through REF-030;</w:t>
      </w:r>
    </w:p>
    <w:p>
      <w:pPr>
        <w:pStyle w:val="Compact"/>
        <w:numPr>
          <w:ilvl w:val="0"/>
          <w:numId w:val="1002"/>
        </w:numPr>
      </w:pPr>
      <w:r>
        <w:t xml:space="preserve">the complete destination reference from Fv −1 through Fv 28.</w:t>
      </w:r>
    </w:p>
    <w:bookmarkStart w:id="23" w:name="section-counts"/>
    <w:p>
      <w:pPr>
        <w:pStyle w:val="Heading3"/>
      </w:pPr>
      <w:r>
        <w:t xml:space="preserve">Section 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jc w:val="right"/>
            </w:pPr>
            <w:r>
              <w:t xml:space="preserve">Identifier range</w:t>
            </w:r>
          </w:p>
        </w:tc>
        <w:tc>
          <w:tcPr/>
          <w:p>
            <w:pPr>
              <w:pStyle w:val="Compact"/>
              <w:jc w:val="right"/>
            </w:pPr>
            <w:r>
              <w:t xml:space="preserve">Entries</w:t>
            </w:r>
          </w:p>
        </w:tc>
      </w:tr>
      <w:tr>
        <w:tc>
          <w:tcPr/>
          <w:p>
            <w:pPr>
              <w:pStyle w:val="Compact"/>
            </w:pPr>
            <w:r>
              <w:t xml:space="preserve">Indexing, labels, and terminology</w:t>
            </w:r>
          </w:p>
        </w:tc>
        <w:tc>
          <w:tcPr/>
          <w:p>
            <w:pPr>
              <w:pStyle w:val="Compact"/>
              <w:jc w:val="right"/>
            </w:pPr>
            <w:r>
              <w:t xml:space="preserve">AV-001–AV-015</w:t>
            </w:r>
          </w:p>
        </w:tc>
        <w:tc>
          <w:tcPr/>
          <w:p>
            <w:pPr>
              <w:pStyle w:val="Compact"/>
              <w:jc w:val="right"/>
            </w:pPr>
            <w:r>
              <w:t xml:space="preserve">15</w:t>
            </w:r>
          </w:p>
        </w:tc>
      </w:tr>
      <w:tr>
        <w:tc>
          <w:tcPr/>
          <w:p>
            <w:pPr>
              <w:pStyle w:val="Compact"/>
            </w:pPr>
            <w:r>
              <w:t xml:space="preserve">Sequence values and recurrence</w:t>
            </w:r>
          </w:p>
        </w:tc>
        <w:tc>
          <w:tcPr/>
          <w:p>
            <w:pPr>
              <w:pStyle w:val="Compact"/>
              <w:jc w:val="right"/>
            </w:pPr>
            <w:r>
              <w:t xml:space="preserve">AV-016–AV-027</w:t>
            </w:r>
          </w:p>
        </w:tc>
        <w:tc>
          <w:tcPr/>
          <w:p>
            <w:pPr>
              <w:pStyle w:val="Compact"/>
              <w:jc w:val="right"/>
            </w:pPr>
            <w:r>
              <w:t xml:space="preserve">12</w:t>
            </w:r>
          </w:p>
        </w:tc>
      </w:tr>
      <w:tr>
        <w:tc>
          <w:tcPr/>
          <w:p>
            <w:pPr>
              <w:pStyle w:val="Compact"/>
            </w:pPr>
            <w:r>
              <w:t xml:space="preserve">Ratios, limits, and the time metaphor</w:t>
            </w:r>
          </w:p>
        </w:tc>
        <w:tc>
          <w:tcPr/>
          <w:p>
            <w:pPr>
              <w:pStyle w:val="Compact"/>
              <w:jc w:val="right"/>
            </w:pPr>
            <w:r>
              <w:t xml:space="preserve">AV-028–AV-045</w:t>
            </w:r>
          </w:p>
        </w:tc>
        <w:tc>
          <w:tcPr/>
          <w:p>
            <w:pPr>
              <w:pStyle w:val="Compact"/>
              <w:jc w:val="right"/>
            </w:pPr>
            <w:r>
              <w:t xml:space="preserve">18</w:t>
            </w:r>
          </w:p>
        </w:tc>
      </w:tr>
      <w:tr>
        <w:tc>
          <w:tcPr/>
          <w:p>
            <w:pPr>
              <w:pStyle w:val="Compact"/>
            </w:pPr>
            <w:r>
              <w:t xml:space="preserve">Chart construction and data visualization</w:t>
            </w:r>
          </w:p>
        </w:tc>
        <w:tc>
          <w:tcPr/>
          <w:p>
            <w:pPr>
              <w:pStyle w:val="Compact"/>
              <w:jc w:val="right"/>
            </w:pPr>
            <w:r>
              <w:t xml:space="preserve">AV-046–AV-065</w:t>
            </w:r>
          </w:p>
        </w:tc>
        <w:tc>
          <w:tcPr/>
          <w:p>
            <w:pPr>
              <w:pStyle w:val="Compact"/>
              <w:jc w:val="right"/>
            </w:pPr>
            <w:r>
              <w:t xml:space="preserve">20</w:t>
            </w:r>
          </w:p>
        </w:tc>
      </w:tr>
      <w:tr>
        <w:tc>
          <w:tcPr/>
          <w:p>
            <w:pPr>
              <w:pStyle w:val="Compact"/>
            </w:pPr>
            <w:r>
              <w:t xml:space="preserve">Pixel accuracy, scaling, and rendering</w:t>
            </w:r>
          </w:p>
        </w:tc>
        <w:tc>
          <w:tcPr/>
          <w:p>
            <w:pPr>
              <w:pStyle w:val="Compact"/>
              <w:jc w:val="right"/>
            </w:pPr>
            <w:r>
              <w:t xml:space="preserve">AV-066–AV-077</w:t>
            </w:r>
          </w:p>
        </w:tc>
        <w:tc>
          <w:tcPr/>
          <w:p>
            <w:pPr>
              <w:pStyle w:val="Compact"/>
              <w:jc w:val="right"/>
            </w:pPr>
            <w:r>
              <w:t xml:space="preserve">12</w:t>
            </w:r>
          </w:p>
        </w:tc>
      </w:tr>
      <w:tr>
        <w:tc>
          <w:tcPr/>
          <w:p>
            <w:pPr>
              <w:pStyle w:val="Compact"/>
            </w:pPr>
            <w:r>
              <w:t xml:space="preserve">Fibonacci rectangles and spirals</w:t>
            </w:r>
          </w:p>
        </w:tc>
        <w:tc>
          <w:tcPr/>
          <w:p>
            <w:pPr>
              <w:pStyle w:val="Compact"/>
              <w:jc w:val="right"/>
            </w:pPr>
            <w:r>
              <w:t xml:space="preserve">AV-078–AV-087</w:t>
            </w:r>
          </w:p>
        </w:tc>
        <w:tc>
          <w:tcPr/>
          <w:p>
            <w:pPr>
              <w:pStyle w:val="Compact"/>
              <w:jc w:val="right"/>
            </w:pPr>
            <w:r>
              <w:t xml:space="preserve">10</w:t>
            </w:r>
          </w:p>
        </w:tc>
      </w:tr>
      <w:tr>
        <w:tc>
          <w:tcPr/>
          <w:p>
            <w:pPr>
              <w:pStyle w:val="Compact"/>
            </w:pPr>
            <w:r>
              <w:t xml:space="preserve">Explanation, annotation, and document integrity</w:t>
            </w:r>
          </w:p>
        </w:tc>
        <w:tc>
          <w:tcPr/>
          <w:p>
            <w:pPr>
              <w:pStyle w:val="Compact"/>
              <w:jc w:val="right"/>
            </w:pPr>
            <w:r>
              <w:t xml:space="preserve">AV-088–AV-100</w:t>
            </w:r>
          </w:p>
        </w:tc>
        <w:tc>
          <w:tcPr/>
          <w:p>
            <w:pPr>
              <w:pStyle w:val="Compact"/>
              <w:jc w:val="right"/>
            </w:pPr>
            <w:r>
              <w:t xml:space="preserve">13</w:t>
            </w:r>
          </w:p>
        </w:tc>
      </w:tr>
      <w:tr>
        <w:tc>
          <w:tcPr/>
          <w:p>
            <w:pPr>
              <w:pStyle w:val="Compact"/>
            </w:pPr>
            <w:r>
              <w:t xml:space="preserve">Canonical appendix</w:t>
            </w:r>
          </w:p>
        </w:tc>
        <w:tc>
          <w:tcPr/>
          <w:p>
            <w:pPr>
              <w:pStyle w:val="Compact"/>
              <w:jc w:val="right"/>
            </w:pPr>
            <w:r>
              <w:t xml:space="preserve">REF-001–REF-030</w:t>
            </w:r>
          </w:p>
        </w:tc>
        <w:tc>
          <w:tcPr/>
          <w:p>
            <w:pPr>
              <w:pStyle w:val="Compact"/>
              <w:jc w:val="right"/>
            </w:pPr>
            <w:r>
              <w:t xml:space="preserve">30 references</w:t>
            </w:r>
          </w:p>
        </w:tc>
      </w:tr>
    </w:tbl>
    <w:p>
      <w:r>
        <w:pict>
          <v:rect style="width:0;height:1.5pt" o:hralign="center" o:hrstd="t" o:hr="t"/>
        </w:pict>
      </w:r>
    </w:p>
    <w:bookmarkEnd w:id="23"/>
    <w:bookmarkEnd w:id="24"/>
    <w:bookmarkStart w:id="25" w:name="X1bb68fc21ddd7d76d63c8d5178e1ad83a044797"/>
    <w:p>
      <w:pPr>
        <w:pStyle w:val="Heading2"/>
      </w:pPr>
      <w:r>
        <w:t xml:space="preserve">4. Section 1: indexing, labels, and terminology</w:t>
      </w:r>
    </w:p>
    <w:p>
      <w:pPr>
        <w:pStyle w:val="FirstParagraph"/>
      </w:pPr>
      <w:r>
        <w:t xml:space="preserve">AV-001 through AV-015 address errors that can occur even when the underlying numbers are correct.</w:t>
      </w:r>
    </w:p>
    <w:p>
      <w:pPr>
        <w:pStyle w:val="BodyText"/>
      </w:pPr>
      <w:r>
        <w:t xml:space="preserve">The section warns against:</w:t>
      </w:r>
    </w:p>
    <w:p>
      <w:pPr>
        <w:pStyle w:val="Compact"/>
        <w:numPr>
          <w:ilvl w:val="0"/>
          <w:numId w:val="1003"/>
        </w:numPr>
      </w:pPr>
      <w:r>
        <w:t xml:space="preserve">shifting values between incompatible indexing systems;</w:t>
      </w:r>
    </w:p>
    <w:p>
      <w:pPr>
        <w:pStyle w:val="Compact"/>
        <w:numPr>
          <w:ilvl w:val="0"/>
          <w:numId w:val="1003"/>
        </w:numPr>
      </w:pPr>
      <w:r>
        <w:t xml:space="preserve">omitting the zero at Fv −1;</w:t>
      </w:r>
    </w:p>
    <w:p>
      <w:pPr>
        <w:pStyle w:val="Compact"/>
        <w:numPr>
          <w:ilvl w:val="0"/>
          <w:numId w:val="1003"/>
        </w:numPr>
      </w:pPr>
      <w:r>
        <w:t xml:space="preserve">merging the two initial destinations equal to 1;</w:t>
      </w:r>
    </w:p>
    <w:p>
      <w:pPr>
        <w:pStyle w:val="Compact"/>
        <w:numPr>
          <w:ilvl w:val="0"/>
          <w:numId w:val="1003"/>
        </w:numPr>
      </w:pPr>
      <w:r>
        <w:t xml:space="preserve">mixing conventional (F_0=0) notation with the document’s Fv notation;</w:t>
      </w:r>
    </w:p>
    <w:p>
      <w:pPr>
        <w:pStyle w:val="Compact"/>
        <w:numPr>
          <w:ilvl w:val="0"/>
          <w:numId w:val="1003"/>
        </w:numPr>
      </w:pPr>
      <w:r>
        <w:t xml:space="preserve">stating a recurrence without specifying its two seeds;</w:t>
      </w:r>
    </w:p>
    <w:p>
      <w:pPr>
        <w:pStyle w:val="Compact"/>
        <w:numPr>
          <w:ilvl w:val="0"/>
          <w:numId w:val="1003"/>
        </w:numPr>
      </w:pPr>
      <w:r>
        <w:t xml:space="preserve">treating</w:t>
      </w:r>
      <w:r>
        <w:t xml:space="preserve"> </w:t>
      </w:r>
      <w:r>
        <w:rPr>
          <w:rStyle w:val="VerbatimChar"/>
        </w:rPr>
        <w:t xml:space="preserve">Fv</w:t>
      </w:r>
      <w:r>
        <w:t xml:space="preserve"> </w:t>
      </w:r>
      <w:r>
        <w:t xml:space="preserve">as both a step label and a destination;</w:t>
      </w:r>
    </w:p>
    <w:p>
      <w:pPr>
        <w:pStyle w:val="Compact"/>
        <w:numPr>
          <w:ilvl w:val="0"/>
          <w:numId w:val="1003"/>
        </w:numPr>
      </w:pPr>
      <w:r>
        <w:t xml:space="preserve">using</w:t>
      </w:r>
      <w:r>
        <w:t xml:space="preserve"> </w:t>
      </w:r>
      <w:r>
        <w:t xml:space="preserve">“term,”</w:t>
      </w:r>
      <w:r>
        <w:t xml:space="preserve"> </w:t>
      </w:r>
      <w:r>
        <w:t xml:space="preserve">“step,”</w:t>
      </w:r>
      <w:r>
        <w:t xml:space="preserve"> </w:t>
      </w:r>
      <w:r>
        <w:t xml:space="preserve">“index,”</w:t>
      </w:r>
      <w:r>
        <w:t xml:space="preserve"> </w:t>
      </w:r>
      <w:r>
        <w:t xml:space="preserve">“value,”</w:t>
      </w:r>
      <w:r>
        <w:t xml:space="preserve"> </w:t>
      </w:r>
      <w:r>
        <w:t xml:space="preserve">and</w:t>
      </w:r>
      <w:r>
        <w:t xml:space="preserve"> </w:t>
      </w:r>
      <w:r>
        <w:t xml:space="preserve">“destination”</w:t>
      </w:r>
      <w:r>
        <w:t xml:space="preserve"> </w:t>
      </w:r>
      <w:r>
        <w:t xml:space="preserve">as though they were interchangeable;</w:t>
      </w:r>
    </w:p>
    <w:p>
      <w:pPr>
        <w:pStyle w:val="Compact"/>
        <w:numPr>
          <w:ilvl w:val="0"/>
          <w:numId w:val="1003"/>
        </w:numPr>
      </w:pPr>
      <w:r>
        <w:t xml:space="preserve">confusing the number of destinations with the number of transitions;</w:t>
      </w:r>
    </w:p>
    <w:p>
      <w:pPr>
        <w:pStyle w:val="Compact"/>
        <w:numPr>
          <w:ilvl w:val="0"/>
          <w:numId w:val="1003"/>
        </w:numPr>
      </w:pPr>
      <w:r>
        <w:t xml:space="preserve">assigning a ratio to the wrong numerator or denominator step;</w:t>
      </w:r>
    </w:p>
    <w:p>
      <w:pPr>
        <w:pStyle w:val="Compact"/>
        <w:numPr>
          <w:ilvl w:val="0"/>
          <w:numId w:val="1003"/>
        </w:numPr>
      </w:pPr>
      <w:r>
        <w:t xml:space="preserve">silently truncating the declared range;</w:t>
      </w:r>
    </w:p>
    <w:p>
      <w:pPr>
        <w:pStyle w:val="Compact"/>
        <w:numPr>
          <w:ilvl w:val="0"/>
          <w:numId w:val="1003"/>
        </w:numPr>
      </w:pPr>
      <w:r>
        <w:t xml:space="preserve">skipping or duplicating axis labels;</w:t>
      </w:r>
    </w:p>
    <w:p>
      <w:pPr>
        <w:pStyle w:val="Compact"/>
        <w:numPr>
          <w:ilvl w:val="0"/>
          <w:numId w:val="1003"/>
        </w:numPr>
      </w:pPr>
      <w:r>
        <w:t xml:space="preserve">retaining conventional (F_n) symbols without explaining their mapping;</w:t>
      </w:r>
    </w:p>
    <w:p>
      <w:pPr>
        <w:pStyle w:val="Compact"/>
        <w:numPr>
          <w:ilvl w:val="0"/>
          <w:numId w:val="1003"/>
        </w:numPr>
      </w:pPr>
      <w:r>
        <w:t xml:space="preserve">defining ratios at steps where the required denominator is absent or zero;</w:t>
      </w:r>
    </w:p>
    <w:p>
      <w:pPr>
        <w:pStyle w:val="Compact"/>
        <w:numPr>
          <w:ilvl w:val="0"/>
          <w:numId w:val="1003"/>
        </w:numPr>
      </w:pPr>
      <w:r>
        <w:t xml:space="preserve">writing rounded decimal approximations as exact equalities.</w:t>
      </w:r>
    </w:p>
    <w:p>
      <w:pPr>
        <w:pStyle w:val="FirstParagraph"/>
      </w:pPr>
      <w:r>
        <w:t xml:space="preserve">A central counting distinction is that Fv −1 through Fv 28 contains</w:t>
      </w:r>
      <w:r>
        <w:t xml:space="preserve"> </w:t>
      </w:r>
      <w:r>
        <w:rPr>
          <w:b/>
          <w:bCs/>
        </w:rPr>
        <w:t xml:space="preserve">30 destinations but only 29 adjacent transitions</w:t>
      </w:r>
      <w:r>
        <w:t xml:space="preserve">.</w:t>
      </w:r>
    </w:p>
    <w:p>
      <w:pPr>
        <w:pStyle w:val="BodyText"/>
      </w:pPr>
      <w:r>
        <w:t xml:space="preserve">The conceptual importance of this section is that it separates</w:t>
      </w:r>
      <w:r>
        <w:t xml:space="preserve"> </w:t>
      </w:r>
      <w:r>
        <w:rPr>
          <w:b/>
          <w:bCs/>
        </w:rPr>
        <w:t xml:space="preserve">notation correctness</w:t>
      </w:r>
      <w:r>
        <w:t xml:space="preserve"> </w:t>
      </w:r>
      <w:r>
        <w:t xml:space="preserve">from</w:t>
      </w:r>
      <w:r>
        <w:t xml:space="preserve"> </w:t>
      </w:r>
      <w:r>
        <w:rPr>
          <w:b/>
          <w:bCs/>
        </w:rPr>
        <w:t xml:space="preserve">arithmetic correctness</w:t>
      </w:r>
      <w:r>
        <w:t xml:space="preserve">. A plot may contain the right numerical values while assigning them to the wrong step labels. The document treats this as a substantive error, not a cosmetic issue.</w:t>
      </w:r>
    </w:p>
    <w:p>
      <w:r>
        <w:pict>
          <v:rect style="width:0;height:1.5pt" o:hralign="center" o:hrstd="t" o:hr="t"/>
        </w:pict>
      </w:r>
    </w:p>
    <w:bookmarkEnd w:id="25"/>
    <w:bookmarkStart w:id="26" w:name="section-2-sequence-values-and-recurrence"/>
    <w:p>
      <w:pPr>
        <w:pStyle w:val="Heading2"/>
      </w:pPr>
      <w:r>
        <w:t xml:space="preserve">5. Section 2: sequence values and recurrence</w:t>
      </w:r>
    </w:p>
    <w:p>
      <w:pPr>
        <w:pStyle w:val="FirstParagraph"/>
      </w:pPr>
      <w:r>
        <w:t xml:space="preserve">AV-016 through AV-027 address the generation and visual representation of the destination sequence.</w:t>
      </w:r>
    </w:p>
    <w:p>
      <w:pPr>
        <w:pStyle w:val="BodyText"/>
      </w:pPr>
      <w:r>
        <w:t xml:space="preserve">They warn against:</w:t>
      </w:r>
    </w:p>
    <w:p>
      <w:pPr>
        <w:pStyle w:val="Compact"/>
        <w:numPr>
          <w:ilvl w:val="0"/>
          <w:numId w:val="1004"/>
        </w:numPr>
      </w:pPr>
      <w:r>
        <w:t xml:space="preserve">beginning with incorrect seed pairs;</w:t>
      </w:r>
    </w:p>
    <w:p>
      <w:pPr>
        <w:pStyle w:val="Compact"/>
        <w:numPr>
          <w:ilvl w:val="0"/>
          <w:numId w:val="1004"/>
        </w:numPr>
      </w:pPr>
      <w:r>
        <w:t xml:space="preserve">displaying an object group whose count is not the sum of the two preceding groups;</w:t>
      </w:r>
    </w:p>
    <w:p>
      <w:pPr>
        <w:pStyle w:val="Compact"/>
        <w:numPr>
          <w:ilvl w:val="0"/>
          <w:numId w:val="1004"/>
        </w:numPr>
      </w:pPr>
      <w:r>
        <w:t xml:space="preserve">showing six objects where destination 5 belongs;</w:t>
      </w:r>
    </w:p>
    <w:p>
      <w:pPr>
        <w:pStyle w:val="Compact"/>
        <w:numPr>
          <w:ilvl w:val="0"/>
          <w:numId w:val="1004"/>
        </w:numPr>
      </w:pPr>
      <w:r>
        <w:t xml:space="preserve">showing eighteen objects where destination 13 belongs;</w:t>
      </w:r>
    </w:p>
    <w:p>
      <w:pPr>
        <w:pStyle w:val="Compact"/>
        <w:numPr>
          <w:ilvl w:val="0"/>
          <w:numId w:val="1004"/>
        </w:numPr>
      </w:pPr>
      <w:r>
        <w:t xml:space="preserve">placing incorrect source values in boxes or nodes;</w:t>
      </w:r>
    </w:p>
    <w:p>
      <w:pPr>
        <w:pStyle w:val="Compact"/>
        <w:numPr>
          <w:ilvl w:val="0"/>
          <w:numId w:val="1004"/>
        </w:numPr>
      </w:pPr>
      <w:r>
        <w:t xml:space="preserve">drawing arrows to a result that does not equal the connected source pair;</w:t>
      </w:r>
    </w:p>
    <w:p>
      <w:pPr>
        <w:pStyle w:val="Compact"/>
        <w:numPr>
          <w:ilvl w:val="0"/>
          <w:numId w:val="1004"/>
        </w:numPr>
      </w:pPr>
      <w:r>
        <w:t xml:space="preserve">introducing a typographical error that contaminates all subsequent recursively calculated values;</w:t>
      </w:r>
    </w:p>
    <w:p>
      <w:pPr>
        <w:pStyle w:val="Compact"/>
        <w:numPr>
          <w:ilvl w:val="0"/>
          <w:numId w:val="1004"/>
        </w:numPr>
      </w:pPr>
      <w:r>
        <w:t xml:space="preserve">substituting an aesthetically convenient nearby number;</w:t>
      </w:r>
    </w:p>
    <w:p>
      <w:pPr>
        <w:pStyle w:val="Compact"/>
        <w:numPr>
          <w:ilvl w:val="0"/>
          <w:numId w:val="1004"/>
        </w:numPr>
      </w:pPr>
      <w:r>
        <w:t xml:space="preserve">using rescaled or noninteger visual heights while labeling them exact;</w:t>
      </w:r>
    </w:p>
    <w:p>
      <w:pPr>
        <w:pStyle w:val="Compact"/>
        <w:numPr>
          <w:ilvl w:val="0"/>
          <w:numId w:val="1004"/>
        </w:numPr>
      </w:pPr>
      <w:r>
        <w:t xml:space="preserve">verifying only the first few additions;</w:t>
      </w:r>
    </w:p>
    <w:p>
      <w:pPr>
        <w:pStyle w:val="Compact"/>
        <w:numPr>
          <w:ilvl w:val="0"/>
          <w:numId w:val="1004"/>
        </w:numPr>
      </w:pPr>
      <w:r>
        <w:t xml:space="preserve">rearranging values by size or layout while losing process order;</w:t>
      </w:r>
    </w:p>
    <w:p>
      <w:pPr>
        <w:pStyle w:val="Compact"/>
        <w:numPr>
          <w:ilvl w:val="0"/>
          <w:numId w:val="1004"/>
        </w:numPr>
      </w:pPr>
      <w:r>
        <w:t xml:space="preserve">omitting Fv 23 through Fv 28 from a supposedly complete 30-destination presentation.</w:t>
      </w:r>
    </w:p>
    <w:p>
      <w:pPr>
        <w:pStyle w:val="FirstParagraph"/>
      </w:pPr>
      <w:r>
        <w:t xml:space="preserve">This section contains two unusually specific audit findings: a</w:t>
      </w:r>
      <w:r>
        <w:t xml:space="preserve"> </w:t>
      </w:r>
      <w:r>
        <w:t xml:space="preserve">“six-for-five”</w:t>
      </w:r>
      <w:r>
        <w:t xml:space="preserve"> </w:t>
      </w:r>
      <w:r>
        <w:t xml:space="preserve">error and an</w:t>
      </w:r>
      <w:r>
        <w:t xml:space="preserve"> </w:t>
      </w:r>
      <w:r>
        <w:t xml:space="preserve">“eighteen-for-thirteen”</w:t>
      </w:r>
      <w:r>
        <w:t xml:space="preserve"> </w:t>
      </w:r>
      <w:r>
        <w:t xml:space="preserve">error in a decorative dot diagram. These are concrete examples of the broader principle that every depicted destination must equal the sum of the two preceding destinations.</w:t>
      </w:r>
    </w:p>
    <w:p>
      <w:r>
        <w:pict>
          <v:rect style="width:0;height:1.5pt" o:hralign="center" o:hrstd="t" o:hr="t"/>
        </w:pict>
      </w:r>
    </w:p>
    <w:bookmarkEnd w:id="26"/>
    <w:bookmarkStart w:id="30" w:name="X8e7851f8f6efd6ba232acdf5210121dc4068cce"/>
    <w:p>
      <w:pPr>
        <w:pStyle w:val="Heading2"/>
      </w:pPr>
      <w:r>
        <w:t xml:space="preserve">6. Section 3: ratios, limits, and the time metaphor</w:t>
      </w:r>
    </w:p>
    <w:p>
      <w:pPr>
        <w:pStyle w:val="FirstParagraph"/>
      </w:pPr>
      <w:r>
        <w:t xml:space="preserve">AV-028 through AV-045 distinguish several ideas that are easily conflated.</w:t>
      </w:r>
    </w:p>
    <w:bookmarkStart w:id="27" w:name="forward-and-reciprocal-ratios"/>
    <w:p>
      <w:pPr>
        <w:pStyle w:val="Heading3"/>
      </w:pPr>
      <w:r>
        <w:t xml:space="preserve">Forward and reciprocal ratios</w:t>
      </w:r>
    </w:p>
    <w:p>
      <w:pPr>
        <w:pStyle w:val="FirstParagraph"/>
      </w:pPr>
      <w:r>
        <w:t xml:space="preserve">The forward ratio is:</w:t>
      </w:r>
    </w:p>
    <w:p>
      <w:pPr>
        <w:pStyle w:val="BodyText"/>
      </w:pPr>
      <w:r>
        <w:t xml:space="preserve">[</w:t>
      </w:r>
      <w:r>
        <w:t xml:space="preserve"> </w:t>
      </w:r>
      <w:r>
        <w:t xml:space="preserve">R_v=</w:t>
      </w:r>
      <w:r>
        <w:t xml:space="preserve">,</w:t>
      </w:r>
      <w:r>
        <w:t xml:space="preserve"> </w:t>
      </w:r>
      <w:r>
        <w:t xml:space="preserve">]</w:t>
      </w:r>
    </w:p>
    <w:p>
      <w:pPr>
        <w:pStyle w:val="BodyText"/>
      </w:pPr>
      <w:r>
        <w:t xml:space="preserve">and approaches:</w:t>
      </w:r>
    </w:p>
    <w:p>
      <w:pPr>
        <w:pStyle w:val="BodyText"/>
      </w:pPr>
      <w:r>
        <w:t xml:space="preserve">[</w:t>
      </w:r>
      <w:r>
        <w:t xml:space="preserve"> </w:t>
      </w:r>
      <w:r>
        <w:t xml:space="preserve">=</w:t>
      </w:r>
      <w:r>
        <w:t xml:space="preserve">.</w:t>
      </w:r>
      <w:r>
        <w:t xml:space="preserve"> </w:t>
      </w:r>
      <w:r>
        <w:t xml:space="preserve">]</w:t>
      </w:r>
    </w:p>
    <w:p>
      <w:pPr>
        <w:pStyle w:val="BodyText"/>
      </w:pPr>
      <w:r>
        <w:t xml:space="preserve">The reciprocal ratio is:</w:t>
      </w:r>
    </w:p>
    <w:p>
      <w:pPr>
        <w:pStyle w:val="BodyText"/>
      </w:pPr>
      <w:r>
        <w:t xml:space="preserve">[</w:t>
      </w:r>
      <w:r>
        <w:t xml:space="preserve"> </w:t>
      </w:r>
      <w:r>
        <w:t xml:space="preserve">Q_v=</w:t>
      </w:r>
      <w:r>
        <w:t xml:space="preserve">,</w:t>
      </w:r>
      <w:r>
        <w:t xml:space="preserve"> </w:t>
      </w:r>
      <w:r>
        <w:t xml:space="preserve">]</w:t>
      </w:r>
    </w:p>
    <w:p>
      <w:pPr>
        <w:pStyle w:val="BodyText"/>
      </w:pPr>
      <w:r>
        <w:t xml:space="preserve">and approaches:</w:t>
      </w:r>
    </w:p>
    <w:p>
      <w:pPr>
        <w:pStyle w:val="BodyText"/>
      </w:pPr>
      <w:r>
        <w:t xml:space="preserve">[</w:t>
      </w:r>
      <w:r>
        <w:t xml:space="preserve"> </w:t>
      </w:r>
      <w:r>
        <w:t xml:space="preserve">=</w:t>
      </w:r>
      <w:r>
        <w:t xml:space="preserve">.</w:t>
      </w:r>
      <w:r>
        <w:t xml:space="preserve"> </w:t>
      </w:r>
      <w:r>
        <w:t xml:space="preserve">]</w:t>
      </w:r>
    </w:p>
    <w:p>
      <w:pPr>
        <w:pStyle w:val="BodyText"/>
      </w:pPr>
      <w:r>
        <w:t xml:space="preserve">The document warns against reversing these two ratio families or placing their limiting references on the wrong curve.</w:t>
      </w:r>
    </w:p>
    <w:bookmarkEnd w:id="27"/>
    <w:bookmarkStart w:id="28" w:name="exactness-and-convergence"/>
    <w:p>
      <w:pPr>
        <w:pStyle w:val="Heading3"/>
      </w:pPr>
      <w:r>
        <w:t xml:space="preserve">Exactness and convergence</w:t>
      </w:r>
    </w:p>
    <w:p>
      <w:pPr>
        <w:pStyle w:val="FirstParagraph"/>
      </w:pPr>
      <w:r>
        <w:t xml:space="preserve">The section rejects claims that a finite Fibonacci ratio equals (</w:t>
      </w:r>
      <w:r>
        <w:t xml:space="preserve">), or that a finite reciprocal ratio equals (1/</w:t>
      </w:r>
      <w:r>
        <w:t xml:space="preserve">). Every finite ratio of integer destinations is rational, while the two limiting constants are irrational.</w:t>
      </w:r>
    </w:p>
    <w:p>
      <w:pPr>
        <w:pStyle w:val="BodyText"/>
      </w:pPr>
      <w:r>
        <w:t xml:space="preserve">It also warns against saying the forward ratios approach (</w:t>
      </w:r>
      <w:r>
        <w:t xml:space="preserve">) monotonically. They alternate above and below the limit. Signed error, absolute error, and step-to-step swing are treated as three different quantities:</w:t>
      </w:r>
    </w:p>
    <w:p>
      <w:pPr>
        <w:pStyle w:val="BodyText"/>
      </w:pPr>
      <w:r>
        <w:t xml:space="preserve">[</w:t>
      </w:r>
      <w:r>
        <w:t xml:space="preserve"> </w:t>
      </w:r>
      <w:r>
        <w:t xml:space="preserve">R_v-</w:t>
      </w:r>
      <w:r>
        <w:t xml:space="preserve">,</w:t>
      </w:r>
      <w:r>
        <w:t xml:space="preserve"> </w:t>
      </w:r>
      <w:r>
        <w:t xml:space="preserve"> </w:t>
      </w:r>
      <w:r>
        <w:t xml:space="preserve">|R_v-</w:t>
      </w:r>
      <w:r>
        <w:t xml:space="preserve">|,</w:t>
      </w:r>
      <w:r>
        <w:t xml:space="preserve"> </w:t>
      </w:r>
      <w:r>
        <w:t xml:space="preserve"> </w:t>
      </w:r>
      <w:r>
        <w:t xml:space="preserve">|R_v-R_{v-1}|.</w:t>
      </w:r>
      <w:r>
        <w:t xml:space="preserve"> </w:t>
      </w:r>
      <w:r>
        <w:t xml:space="preserve">]</w:t>
      </w:r>
    </w:p>
    <w:p>
      <w:pPr>
        <w:pStyle w:val="BodyText"/>
      </w:pPr>
      <w:r>
        <w:t xml:space="preserve">The document further distinguishes an</w:t>
      </w:r>
      <w:r>
        <w:t xml:space="preserve"> </w:t>
      </w:r>
      <w:r>
        <w:rPr>
          <w:b/>
          <w:bCs/>
        </w:rPr>
        <w:t xml:space="preserve">asymptotic contraction factor</w:t>
      </w:r>
      <w:r>
        <w:t xml:space="preserve"> </w:t>
      </w:r>
      <w:r>
        <w:t xml:space="preserve">from a constant exact multiplier: successive error magnitudes approach a ratio of (1/</w:t>
      </w:r>
      <w:r>
        <w:t xml:space="preserve">^2), but are not multiplied by exactly that value at every finite step.</w:t>
      </w:r>
    </w:p>
    <w:bookmarkEnd w:id="28"/>
    <w:bookmarkStart w:id="29" w:name="yesterday-today-and-tomorrow"/>
    <w:p>
      <w:pPr>
        <w:pStyle w:val="Heading3"/>
      </w:pPr>
      <w:r>
        <w:t xml:space="preserve">Yesterday, Today, and Tomorrow</w:t>
      </w:r>
    </w:p>
    <w:p>
      <w:pPr>
        <w:pStyle w:val="FirstParagraph"/>
      </w:pPr>
      <w:r>
        <w:t xml:space="preserve">The documents declare the metaphor:</w:t>
      </w:r>
    </w:p>
    <w:p>
      <w:pPr>
        <w:pStyle w:val="BodyText"/>
      </w:pPr>
      <w:r>
        <w:t xml:space="preserve">[</w:t>
      </w:r>
      <w:r>
        <w:t xml:space="preserve"> </w:t>
      </w:r>
      <w:r>
        <w:t xml:space="preserve">=</w:t>
      </w:r>
      <w:r>
        <w:t xml:space="preserve">,</w:t>
      </w:r>
      <w:r>
        <w:t xml:space="preserve"> </w:t>
      </w:r>
      <w:r>
        <w:t xml:space="preserve">=1,</w:t>
      </w:r>
      <w:r>
        <w:t xml:space="preserve"> </w:t>
      </w:r>
      <w:r>
        <w:t xml:space="preserve">=</w:t>
      </w:r>
      <w:r>
        <w:t xml:space="preserve">.</w:t>
      </w:r>
      <w:r>
        <w:t xml:space="preserve"> </w:t>
      </w:r>
      <w:r>
        <w:t xml:space="preserve">]</w:t>
      </w:r>
    </w:p>
    <w:p>
      <w:pPr>
        <w:pStyle w:val="BodyText"/>
      </w:pPr>
      <w:r>
        <w:t xml:space="preserve">The Avoids Inventory insists that this is an interpretive mapping, not a theorem that alters the Fibonacci recurrence. It also notes that these three values are not evenly spaced on a linear numeric axis. The distance from Yesterday to Today is approximately 0.381966, while the distance from Today to Tomorrow is approximately 0.618034.</w:t>
      </w:r>
    </w:p>
    <w:p>
      <w:r>
        <w:pict>
          <v:rect style="width:0;height:1.5pt" o:hralign="center" o:hrstd="t" o:hr="t"/>
        </w:pict>
      </w:r>
    </w:p>
    <w:bookmarkEnd w:id="29"/>
    <w:bookmarkEnd w:id="30"/>
    <w:bookmarkStart w:id="36" w:name="X213ad521c7e27dae91512996117da077bf484ce"/>
    <w:p>
      <w:pPr>
        <w:pStyle w:val="Heading2"/>
      </w:pPr>
      <w:r>
        <w:t xml:space="preserve">7. Section 4: chart construction and data visualization</w:t>
      </w:r>
    </w:p>
    <w:p>
      <w:pPr>
        <w:pStyle w:val="FirstParagraph"/>
      </w:pPr>
      <w:r>
        <w:t xml:space="preserve">AV-046 through AV-065 form the largest section of the Avoids Inventory.</w:t>
      </w:r>
    </w:p>
    <w:p>
      <w:pPr>
        <w:pStyle w:val="BodyText"/>
      </w:pPr>
      <w:r>
        <w:t xml:space="preserve">They cover:</w:t>
      </w:r>
    </w:p>
    <w:bookmarkStart w:id="31" w:name="discrete-versus-continuous-presentation"/>
    <w:p>
      <w:pPr>
        <w:pStyle w:val="Heading3"/>
      </w:pPr>
      <w:r>
        <w:t xml:space="preserve">Discrete versus continuous presentation</w:t>
      </w:r>
    </w:p>
    <w:p>
      <w:pPr>
        <w:pStyle w:val="FirstParagraph"/>
      </w:pPr>
      <w:r>
        <w:t xml:space="preserve">The sequence and its ratios occur at integer steps. A smooth spline can invent intermediate values, extra crossings, and extrema that are not part of the recurrence. Connected lines are acceptable as ordering aids, but the actual observations should remain visibly marked.</w:t>
      </w:r>
    </w:p>
    <w:bookmarkEnd w:id="31"/>
    <w:bookmarkStart w:id="32" w:name="axis-identity-and-labels"/>
    <w:p>
      <w:pPr>
        <w:pStyle w:val="Heading3"/>
      </w:pPr>
      <w:r>
        <w:t xml:space="preserve">Axis identity and labels</w:t>
      </w:r>
    </w:p>
    <w:p>
      <w:pPr>
        <w:pStyle w:val="FirstParagraph"/>
      </w:pPr>
      <w:r>
        <w:t xml:space="preserve">The document rejects vague axes such as</w:t>
      </w:r>
      <w:r>
        <w:t xml:space="preserve"> </w:t>
      </w:r>
      <w:r>
        <w:t xml:space="preserve">“Value”</w:t>
      </w:r>
      <w:r>
        <w:t xml:space="preserve"> </w:t>
      </w:r>
      <w:r>
        <w:t xml:space="preserve">or</w:t>
      </w:r>
      <w:r>
        <w:t xml:space="preserve"> </w:t>
      </w:r>
      <w:r>
        <w:t xml:space="preserve">“Index”</w:t>
      </w:r>
      <w:r>
        <w:t xml:space="preserve"> </w:t>
      </w:r>
      <w:r>
        <w:t xml:space="preserve">when the actual quantity might be:</w:t>
      </w:r>
    </w:p>
    <w:p>
      <w:pPr>
        <w:pStyle w:val="Compact"/>
        <w:numPr>
          <w:ilvl w:val="0"/>
          <w:numId w:val="1005"/>
        </w:numPr>
      </w:pPr>
      <w:r>
        <w:t xml:space="preserve">a destination;</w:t>
      </w:r>
    </w:p>
    <w:p>
      <w:pPr>
        <w:pStyle w:val="Compact"/>
        <w:numPr>
          <w:ilvl w:val="0"/>
          <w:numId w:val="1005"/>
        </w:numPr>
      </w:pPr>
      <w:r>
        <w:t xml:space="preserve">a forward ratio;</w:t>
      </w:r>
    </w:p>
    <w:p>
      <w:pPr>
        <w:pStyle w:val="Compact"/>
        <w:numPr>
          <w:ilvl w:val="0"/>
          <w:numId w:val="1005"/>
        </w:numPr>
      </w:pPr>
      <w:r>
        <w:t xml:space="preserve">a reciprocal ratio;</w:t>
      </w:r>
    </w:p>
    <w:p>
      <w:pPr>
        <w:pStyle w:val="Compact"/>
        <w:numPr>
          <w:ilvl w:val="0"/>
          <w:numId w:val="1005"/>
        </w:numPr>
      </w:pPr>
      <w:r>
        <w:t xml:space="preserve">signed or absolute error;</w:t>
      </w:r>
    </w:p>
    <w:p>
      <w:pPr>
        <w:pStyle w:val="Compact"/>
        <w:numPr>
          <w:ilvl w:val="0"/>
          <w:numId w:val="1005"/>
        </w:numPr>
      </w:pPr>
      <w:r>
        <w:t xml:space="preserve">a consecutive-pair coordinate.</w:t>
      </w:r>
    </w:p>
    <w:p>
      <w:pPr>
        <w:pStyle w:val="FirstParagraph"/>
      </w:pPr>
      <w:r>
        <w:t xml:space="preserve">Dashed or reference lines should be explicitly identified by their mathematical role.</w:t>
      </w:r>
    </w:p>
    <w:bookmarkEnd w:id="32"/>
    <w:bookmarkStart w:id="33" w:name="scale-and-range"/>
    <w:p>
      <w:pPr>
        <w:pStyle w:val="Heading3"/>
      </w:pPr>
      <w:r>
        <w:t xml:space="preserve">Scale and range</w:t>
      </w:r>
    </w:p>
    <w:p>
      <w:pPr>
        <w:pStyle w:val="FirstParagraph"/>
      </w:pPr>
      <w:r>
        <w:t xml:space="preserve">It warns against:</w:t>
      </w:r>
    </w:p>
    <w:p>
      <w:pPr>
        <w:pStyle w:val="Compact"/>
        <w:numPr>
          <w:ilvl w:val="0"/>
          <w:numId w:val="1006"/>
        </w:numPr>
      </w:pPr>
      <w:r>
        <w:t xml:space="preserve">clipping a first ratio point on a plot boundary;</w:t>
      </w:r>
    </w:p>
    <w:p>
      <w:pPr>
        <w:pStyle w:val="Compact"/>
        <w:numPr>
          <w:ilvl w:val="0"/>
          <w:numId w:val="1006"/>
        </w:numPr>
      </w:pPr>
      <w:r>
        <w:t xml:space="preserve">excluding 0.618 from a chart that claims to show Yesterday;</w:t>
      </w:r>
    </w:p>
    <w:p>
      <w:pPr>
        <w:pStyle w:val="Compact"/>
        <w:numPr>
          <w:ilvl w:val="0"/>
          <w:numId w:val="1006"/>
        </w:numPr>
      </w:pPr>
      <w:r>
        <w:t xml:space="preserve">allowing early destinations to collapse visually against zero;</w:t>
      </w:r>
    </w:p>
    <w:p>
      <w:pPr>
        <w:pStyle w:val="Compact"/>
        <w:numPr>
          <w:ilvl w:val="0"/>
          <w:numId w:val="1006"/>
        </w:numPr>
      </w:pPr>
      <w:r>
        <w:t xml:space="preserve">placing the zero destination on an ordinary logarithmic scale;</w:t>
      </w:r>
    </w:p>
    <w:p>
      <w:pPr>
        <w:pStyle w:val="Compact"/>
        <w:numPr>
          <w:ilvl w:val="0"/>
          <w:numId w:val="1006"/>
        </w:numPr>
      </w:pPr>
      <w:r>
        <w:t xml:space="preserve">changing the scale of later bars without declaring an axis break or transformation;</w:t>
      </w:r>
    </w:p>
    <w:p>
      <w:pPr>
        <w:pStyle w:val="Compact"/>
        <w:numPr>
          <w:ilvl w:val="0"/>
          <w:numId w:val="1006"/>
        </w:numPr>
      </w:pPr>
      <w:r>
        <w:t xml:space="preserve">combining enormous destination values and near-unity ratios on one undifferentiated y-axis;</w:t>
      </w:r>
    </w:p>
    <w:p>
      <w:pPr>
        <w:pStyle w:val="Compact"/>
        <w:numPr>
          <w:ilvl w:val="0"/>
          <w:numId w:val="1006"/>
        </w:numPr>
      </w:pPr>
      <w:r>
        <w:t xml:space="preserve">including irrelevant negative ranges for a nonnegative sequence.</w:t>
      </w:r>
    </w:p>
    <w:bookmarkEnd w:id="33"/>
    <w:bookmarkStart w:id="34" w:name="clutter-and-false-precision"/>
    <w:p>
      <w:pPr>
        <w:pStyle w:val="Heading3"/>
      </w:pPr>
      <w:r>
        <w:t xml:space="preserve">Clutter and false precision</w:t>
      </w:r>
    </w:p>
    <w:p>
      <w:pPr>
        <w:pStyle w:val="FirstParagraph"/>
      </w:pPr>
      <w:r>
        <w:t xml:space="preserve">Long fraction labels, excessive decimal labels, and more displayed precision than the image resolution supports are all treated as potential errors.</w:t>
      </w:r>
    </w:p>
    <w:bookmarkEnd w:id="34"/>
    <w:bookmarkStart w:id="35" w:name="scatter-and-bar-plots"/>
    <w:p>
      <w:pPr>
        <w:pStyle w:val="Heading3"/>
      </w:pPr>
      <w:r>
        <w:t xml:space="preserve">Scatter and bar plots</w:t>
      </w:r>
    </w:p>
    <w:p>
      <w:pPr>
        <w:pStyle w:val="FirstParagraph"/>
      </w:pPr>
      <w:r>
        <w:t xml:space="preserve">A consecutive-pair scatter plot should preserve or label progression order when order matters, and should include (y=</w:t>
      </w:r>
      <w:r>
        <w:t xml:space="preserve">x) when limiting slope is under discussion. A bar chart must preserve a consistent pixel-per-unit scale unless a clearly marked transformation is used.</w:t>
      </w:r>
    </w:p>
    <w:p>
      <w:r>
        <w:pict>
          <v:rect style="width:0;height:1.5pt" o:hralign="center" o:hrstd="t" o:hr="t"/>
        </w:pict>
      </w:r>
    </w:p>
    <w:bookmarkEnd w:id="35"/>
    <w:bookmarkEnd w:id="36"/>
    <w:bookmarkStart w:id="37" w:name="X9307704254ff32026d981dcf6b6f926c467245f"/>
    <w:p>
      <w:pPr>
        <w:pStyle w:val="Heading2"/>
      </w:pPr>
      <w:r>
        <w:t xml:space="preserve">8. Section 5: pixel accuracy, scaling, and rendering</w:t>
      </w:r>
    </w:p>
    <w:p>
      <w:pPr>
        <w:pStyle w:val="FirstParagraph"/>
      </w:pPr>
      <w:r>
        <w:t xml:space="preserve">AV-066 through AV-077 address the difference between mathematical coordinates and rendered pixels.</w:t>
      </w:r>
    </w:p>
    <w:p>
      <w:pPr>
        <w:pStyle w:val="BodyText"/>
      </w:pPr>
      <w:r>
        <w:t xml:space="preserve">The section warns against:</w:t>
      </w:r>
    </w:p>
    <w:p>
      <w:pPr>
        <w:pStyle w:val="Compact"/>
        <w:numPr>
          <w:ilvl w:val="0"/>
          <w:numId w:val="1007"/>
        </w:numPr>
      </w:pPr>
      <w:r>
        <w:t xml:space="preserve">manually nudging points to make oscillations more visible;</w:t>
      </w:r>
    </w:p>
    <w:p>
      <w:pPr>
        <w:pStyle w:val="Compact"/>
        <w:numPr>
          <w:ilvl w:val="0"/>
          <w:numId w:val="1007"/>
        </w:numPr>
      </w:pPr>
      <w:r>
        <w:t xml:space="preserve">claiming that a subpixel displacement is visually observable;</w:t>
      </w:r>
    </w:p>
    <w:p>
      <w:pPr>
        <w:pStyle w:val="Compact"/>
        <w:numPr>
          <w:ilvl w:val="0"/>
          <w:numId w:val="1007"/>
        </w:numPr>
      </w:pPr>
      <w:r>
        <w:t xml:space="preserve">ignoring line or marker thickness;</w:t>
      </w:r>
    </w:p>
    <w:p>
      <w:pPr>
        <w:pStyle w:val="Compact"/>
        <w:numPr>
          <w:ilvl w:val="0"/>
          <w:numId w:val="1007"/>
        </w:numPr>
      </w:pPr>
      <w:r>
        <w:t xml:space="preserve">reading antialiased edge pixels as exact coordinates;</w:t>
      </w:r>
    </w:p>
    <w:p>
      <w:pPr>
        <w:pStyle w:val="Compact"/>
        <w:numPr>
          <w:ilvl w:val="0"/>
          <w:numId w:val="1007"/>
        </w:numPr>
      </w:pPr>
      <w:r>
        <w:t xml:space="preserve">treating screenshots as more authoritative than source values;</w:t>
      </w:r>
    </w:p>
    <w:p>
      <w:pPr>
        <w:pStyle w:val="Compact"/>
        <w:numPr>
          <w:ilvl w:val="0"/>
          <w:numId w:val="1007"/>
        </w:numPr>
      </w:pPr>
      <w:r>
        <w:t xml:space="preserve">allowing scales to drift between panels;</w:t>
      </w:r>
    </w:p>
    <w:p>
      <w:pPr>
        <w:pStyle w:val="Compact"/>
        <w:numPr>
          <w:ilvl w:val="0"/>
          <w:numId w:val="1007"/>
        </w:numPr>
      </w:pPr>
      <w:r>
        <w:t xml:space="preserve">resizing axes independently when geometry or slope matters;</w:t>
      </w:r>
    </w:p>
    <w:p>
      <w:pPr>
        <w:pStyle w:val="Compact"/>
        <w:numPr>
          <w:ilvl w:val="0"/>
          <w:numId w:val="1007"/>
        </w:numPr>
      </w:pPr>
      <w:r>
        <w:t xml:space="preserve">shifting the (</w:t>
      </w:r>
      <w:r>
        <w:t xml:space="preserve">) reference line to match rounded labels;</w:t>
      </w:r>
    </w:p>
    <w:p>
      <w:pPr>
        <w:pStyle w:val="Compact"/>
        <w:numPr>
          <w:ilvl w:val="0"/>
          <w:numId w:val="1007"/>
        </w:numPr>
      </w:pPr>
      <w:r>
        <w:t xml:space="preserve">cropping definitions, notes, or endpoints;</w:t>
      </w:r>
    </w:p>
    <w:p>
      <w:pPr>
        <w:pStyle w:val="Compact"/>
        <w:numPr>
          <w:ilvl w:val="0"/>
          <w:numId w:val="1007"/>
        </w:numPr>
      </w:pPr>
      <w:r>
        <w:t xml:space="preserve">retaining browser or interface controls in finished figures;</w:t>
      </w:r>
    </w:p>
    <w:p>
      <w:pPr>
        <w:pStyle w:val="Compact"/>
        <w:numPr>
          <w:ilvl w:val="0"/>
          <w:numId w:val="1007"/>
        </w:numPr>
      </w:pPr>
      <w:r>
        <w:t xml:space="preserve">using raster resolutions too low for the typography and line density;</w:t>
      </w:r>
    </w:p>
    <w:p>
      <w:pPr>
        <w:pStyle w:val="Compact"/>
        <w:numPr>
          <w:ilvl w:val="0"/>
          <w:numId w:val="1007"/>
        </w:numPr>
      </w:pPr>
      <w:r>
        <w:t xml:space="preserve">assuming export, scaling, compression, or format conversion leaves a chart unchanged.</w:t>
      </w:r>
    </w:p>
    <w:p>
      <w:pPr>
        <w:pStyle w:val="FirstParagraph"/>
      </w:pPr>
      <w:r>
        <w:t xml:space="preserve">The governing principle is that the numerical source data are authoritative. A raster screenshot is a limited representation whose strokes, antialiasing, cropping, and resolution can obscure the actual coordinate relationships.</w:t>
      </w:r>
    </w:p>
    <w:p>
      <w:r>
        <w:pict>
          <v:rect style="width:0;height:1.5pt" o:hralign="center" o:hrstd="t" o:hr="t"/>
        </w:pict>
      </w:r>
    </w:p>
    <w:bookmarkEnd w:id="37"/>
    <w:bookmarkStart w:id="38" w:name="X9d3e7181bff83b77767817a02e6f2e068368f31"/>
    <w:p>
      <w:pPr>
        <w:pStyle w:val="Heading2"/>
      </w:pPr>
      <w:r>
        <w:t xml:space="preserve">9. Section 6: Fibonacci rectangles and spirals</w:t>
      </w:r>
    </w:p>
    <w:p>
      <w:pPr>
        <w:pStyle w:val="FirstParagraph"/>
      </w:pPr>
      <w:r>
        <w:t xml:space="preserve">AV-078 through AV-087 address geometric constructions.</w:t>
      </w:r>
    </w:p>
    <w:p>
      <w:pPr>
        <w:pStyle w:val="BodyText"/>
      </w:pPr>
      <w:r>
        <w:t xml:space="preserve">They warn against:</w:t>
      </w:r>
    </w:p>
    <w:p>
      <w:pPr>
        <w:pStyle w:val="Compact"/>
        <w:numPr>
          <w:ilvl w:val="0"/>
          <w:numId w:val="1008"/>
        </w:numPr>
      </w:pPr>
      <w:r>
        <w:t xml:space="preserve">calling a rectangle golden when its aspect ratio is not (</w:t>
      </w:r>
      <w:r>
        <w:t xml:space="preserve">) or (1/</w:t>
      </w:r>
      <w:r>
        <w:t xml:space="preserve">);</w:t>
      </w:r>
    </w:p>
    <w:p>
      <w:pPr>
        <w:pStyle w:val="Compact"/>
        <w:numPr>
          <w:ilvl w:val="0"/>
          <w:numId w:val="1008"/>
        </w:numPr>
      </w:pPr>
      <w:r>
        <w:t xml:space="preserve">calling rectangular subdivisions Fibonacci squares;</w:t>
      </w:r>
    </w:p>
    <w:p>
      <w:pPr>
        <w:pStyle w:val="Compact"/>
        <w:numPr>
          <w:ilvl w:val="0"/>
          <w:numId w:val="1008"/>
        </w:numPr>
      </w:pPr>
      <w:r>
        <w:t xml:space="preserve">using side lengths outside the progression (1,1,2,3,5,8,13,</w:t>
      </w:r>
      <w:r>
        <w:t xml:space="preserve">);</w:t>
      </w:r>
    </w:p>
    <w:p>
      <w:pPr>
        <w:pStyle w:val="Compact"/>
        <w:numPr>
          <w:ilvl w:val="0"/>
          <w:numId w:val="1008"/>
        </w:numPr>
      </w:pPr>
      <w:r>
        <w:t xml:space="preserve">drawing quarter-circle arcs with incorrect radii;</w:t>
      </w:r>
    </w:p>
    <w:p>
      <w:pPr>
        <w:pStyle w:val="Compact"/>
        <w:numPr>
          <w:ilvl w:val="0"/>
          <w:numId w:val="1008"/>
        </w:numPr>
      </w:pPr>
      <w:r>
        <w:t xml:space="preserve">placing arc centers away from the required square corners;</w:t>
      </w:r>
    </w:p>
    <w:p>
      <w:pPr>
        <w:pStyle w:val="Compact"/>
        <w:numPr>
          <w:ilvl w:val="0"/>
          <w:numId w:val="1008"/>
        </w:numPr>
      </w:pPr>
      <w:r>
        <w:t xml:space="preserve">producing non-tangent joins between adjacent arcs;</w:t>
      </w:r>
    </w:p>
    <w:p>
      <w:pPr>
        <w:pStyle w:val="Compact"/>
        <w:numPr>
          <w:ilvl w:val="0"/>
          <w:numId w:val="1008"/>
        </w:numPr>
      </w:pPr>
      <w:r>
        <w:t xml:space="preserve">presenting a decorative or freehand spiral as an exact square-based construction;</w:t>
      </w:r>
    </w:p>
    <w:p>
      <w:pPr>
        <w:pStyle w:val="Compact"/>
        <w:numPr>
          <w:ilvl w:val="0"/>
          <w:numId w:val="1008"/>
        </w:numPr>
      </w:pPr>
      <w:r>
        <w:t xml:space="preserve">omitting quantitative tile labels;</w:t>
      </w:r>
    </w:p>
    <w:p>
      <w:pPr>
        <w:pStyle w:val="Compact"/>
        <w:numPr>
          <w:ilvl w:val="0"/>
          <w:numId w:val="1008"/>
        </w:numPr>
      </w:pPr>
      <w:r>
        <w:t xml:space="preserve">attaching a new square in a way that does not continue the recursive rectangle;</w:t>
      </w:r>
    </w:p>
    <w:p>
      <w:pPr>
        <w:pStyle w:val="Compact"/>
        <w:numPr>
          <w:ilvl w:val="0"/>
          <w:numId w:val="1008"/>
        </w:numPr>
      </w:pPr>
      <w:r>
        <w:t xml:space="preserve">nonuniformly stretching a correct construction after it has been drawn.</w:t>
      </w:r>
    </w:p>
    <w:p>
      <w:pPr>
        <w:pStyle w:val="FirstParagraph"/>
      </w:pPr>
      <w:r>
        <w:t xml:space="preserve">The section preserves an important distinction:</w:t>
      </w:r>
    </w:p>
    <w:p>
      <w:pPr>
        <w:pStyle w:val="Compact"/>
        <w:numPr>
          <w:ilvl w:val="0"/>
          <w:numId w:val="1009"/>
        </w:numPr>
      </w:pPr>
      <w:r>
        <w:t xml:space="preserve">a</w:t>
      </w:r>
      <w:r>
        <w:t xml:space="preserve"> </w:t>
      </w:r>
      <w:r>
        <w:rPr>
          <w:b/>
          <w:bCs/>
        </w:rPr>
        <w:t xml:space="preserve">Fibonacci spiral approximation</w:t>
      </w:r>
      <w:r>
        <w:t xml:space="preserve"> </w:t>
      </w:r>
      <w:r>
        <w:t xml:space="preserve">is made from piecewise quarter-circle arcs in Fibonacci squares;</w:t>
      </w:r>
    </w:p>
    <w:p>
      <w:pPr>
        <w:pStyle w:val="Compact"/>
        <w:numPr>
          <w:ilvl w:val="0"/>
          <w:numId w:val="1009"/>
        </w:numPr>
      </w:pPr>
      <w:r>
        <w:t xml:space="preserve">an exact</w:t>
      </w:r>
      <w:r>
        <w:t xml:space="preserve"> </w:t>
      </w:r>
      <w:r>
        <w:rPr>
          <w:b/>
          <w:bCs/>
        </w:rPr>
        <w:t xml:space="preserve">golden spiral</w:t>
      </w:r>
      <w:r>
        <w:t xml:space="preserve"> </w:t>
      </w:r>
      <w:r>
        <w:t xml:space="preserve">is a logarithmic spiral.</w:t>
      </w:r>
    </w:p>
    <w:p>
      <w:pPr>
        <w:pStyle w:val="FirstParagraph"/>
      </w:pPr>
      <w:r>
        <w:t xml:space="preserve">They may look similar, but they are not geometrically identical.</w:t>
      </w:r>
    </w:p>
    <w:p>
      <w:r>
        <w:pict>
          <v:rect style="width:0;height:1.5pt" o:hralign="center" o:hrstd="t" o:hr="t"/>
        </w:pict>
      </w:r>
    </w:p>
    <w:bookmarkEnd w:id="38"/>
    <w:bookmarkStart w:id="39" w:name="Xcde9350d52ba38894898ecdebd6e0168f535c12"/>
    <w:p>
      <w:pPr>
        <w:pStyle w:val="Heading2"/>
      </w:pPr>
      <w:r>
        <w:t xml:space="preserve">10. Section 7: explanation, annotation, and document integrity</w:t>
      </w:r>
    </w:p>
    <w:p>
      <w:pPr>
        <w:pStyle w:val="FirstParagraph"/>
      </w:pPr>
      <w:r>
        <w:t xml:space="preserve">AV-088 through AV-100 focus on whether the explanatory system surrounding a graphic is complete and consistent.</w:t>
      </w:r>
    </w:p>
    <w:p>
      <w:pPr>
        <w:pStyle w:val="BodyText"/>
      </w:pPr>
      <w:r>
        <w:t xml:space="preserve">The section warns against:</w:t>
      </w:r>
    </w:p>
    <w:p>
      <w:pPr>
        <w:pStyle w:val="Compact"/>
        <w:numPr>
          <w:ilvl w:val="0"/>
          <w:numId w:val="1010"/>
        </w:numPr>
      </w:pPr>
      <w:r>
        <w:t xml:space="preserve">legends that identify only colors rather than formulas or datasets;</w:t>
      </w:r>
    </w:p>
    <w:p>
      <w:pPr>
        <w:pStyle w:val="Compact"/>
        <w:numPr>
          <w:ilvl w:val="0"/>
          <w:numId w:val="1010"/>
        </w:numPr>
      </w:pPr>
      <w:r>
        <w:t xml:space="preserve">reliance on color alone;</w:t>
      </w:r>
    </w:p>
    <w:p>
      <w:pPr>
        <w:pStyle w:val="Compact"/>
        <w:numPr>
          <w:ilvl w:val="0"/>
          <w:numId w:val="1010"/>
        </w:numPr>
      </w:pPr>
      <w:r>
        <w:t xml:space="preserve">standalone images that omit their indexing convention;</w:t>
      </w:r>
    </w:p>
    <w:p>
      <w:pPr>
        <w:pStyle w:val="Compact"/>
        <w:numPr>
          <w:ilvl w:val="0"/>
          <w:numId w:val="1010"/>
        </w:numPr>
      </w:pPr>
      <w:r>
        <w:t xml:space="preserve">ratio labels without numerator and denominator definitions;</w:t>
      </w:r>
    </w:p>
    <w:p>
      <w:pPr>
        <w:pStyle w:val="Compact"/>
        <w:numPr>
          <w:ilvl w:val="0"/>
          <w:numId w:val="1010"/>
        </w:numPr>
      </w:pPr>
      <w:r>
        <w:t xml:space="preserve">Fv labels without associated destinations;</w:t>
      </w:r>
    </w:p>
    <w:p>
      <w:pPr>
        <w:pStyle w:val="Compact"/>
        <w:numPr>
          <w:ilvl w:val="0"/>
          <w:numId w:val="1010"/>
        </w:numPr>
      </w:pPr>
      <w:r>
        <w:t xml:space="preserve">ratio annotations that omit the prior destination;</w:t>
      </w:r>
    </w:p>
    <w:p>
      <w:pPr>
        <w:pStyle w:val="Compact"/>
        <w:numPr>
          <w:ilvl w:val="0"/>
          <w:numId w:val="1010"/>
        </w:numPr>
      </w:pPr>
      <w:r>
        <w:t xml:space="preserve">copying values without checking the canonical sequence;</w:t>
      </w:r>
    </w:p>
    <w:p>
      <w:pPr>
        <w:pStyle w:val="Compact"/>
        <w:numPr>
          <w:ilvl w:val="0"/>
          <w:numId w:val="1010"/>
        </w:numPr>
      </w:pPr>
      <w:r>
        <w:t xml:space="preserve">combining panels that disagree on counts, ranges, labels, or scales;</w:t>
      </w:r>
    </w:p>
    <w:p>
      <w:pPr>
        <w:pStyle w:val="Compact"/>
        <w:numPr>
          <w:ilvl w:val="0"/>
          <w:numId w:val="1010"/>
        </w:numPr>
      </w:pPr>
      <w:r>
        <w:t xml:space="preserve">correcting a picture but leaving its table or prose unchanged;</w:t>
      </w:r>
    </w:p>
    <w:p>
      <w:pPr>
        <w:pStyle w:val="Compact"/>
        <w:numPr>
          <w:ilvl w:val="0"/>
          <w:numId w:val="1010"/>
        </w:numPr>
      </w:pPr>
      <w:r>
        <w:t xml:space="preserve">placing formulas too far from what they define;</w:t>
      </w:r>
    </w:p>
    <w:p>
      <w:pPr>
        <w:pStyle w:val="Compact"/>
        <w:numPr>
          <w:ilvl w:val="0"/>
          <w:numId w:val="1010"/>
        </w:numPr>
      </w:pPr>
      <w:r>
        <w:t xml:space="preserve">claiming that a chart proves more than its data and resolution establish;</w:t>
      </w:r>
    </w:p>
    <w:p>
      <w:pPr>
        <w:pStyle w:val="Compact"/>
        <w:numPr>
          <w:ilvl w:val="0"/>
          <w:numId w:val="1010"/>
        </w:numPr>
      </w:pPr>
      <w:r>
        <w:t xml:space="preserve">prioritizing symmetry, smoothness, or balanced spacing over accuracy.</w:t>
      </w:r>
    </w:p>
    <w:p>
      <w:pPr>
        <w:pStyle w:val="FirstParagraph"/>
      </w:pPr>
      <w:r>
        <w:t xml:space="preserve">The final avoid, AV-100</w:t>
      </w:r>
      <w:r>
        <w:t xml:space="preserve"> </w:t>
      </w:r>
      <w:r>
        <w:t xml:space="preserve">“Missing Audit,”</w:t>
      </w:r>
      <w:r>
        <w:t xml:space="preserve"> </w:t>
      </w:r>
      <w:r>
        <w:t xml:space="preserve">requires a completed presentation to be checked separately for:</w:t>
      </w:r>
    </w:p>
    <w:p>
      <w:pPr>
        <w:pStyle w:val="Compact"/>
        <w:numPr>
          <w:ilvl w:val="0"/>
          <w:numId w:val="1011"/>
        </w:numPr>
      </w:pPr>
      <w:r>
        <w:t xml:space="preserve">sequence values;</w:t>
      </w:r>
    </w:p>
    <w:p>
      <w:pPr>
        <w:pStyle w:val="Compact"/>
        <w:numPr>
          <w:ilvl w:val="0"/>
          <w:numId w:val="1011"/>
        </w:numPr>
      </w:pPr>
      <w:r>
        <w:t xml:space="preserve">indexing;</w:t>
      </w:r>
    </w:p>
    <w:p>
      <w:pPr>
        <w:pStyle w:val="Compact"/>
        <w:numPr>
          <w:ilvl w:val="0"/>
          <w:numId w:val="1011"/>
        </w:numPr>
      </w:pPr>
      <w:r>
        <w:t xml:space="preserve">formulas;</w:t>
      </w:r>
    </w:p>
    <w:p>
      <w:pPr>
        <w:pStyle w:val="Compact"/>
        <w:numPr>
          <w:ilvl w:val="0"/>
          <w:numId w:val="1011"/>
        </w:numPr>
      </w:pPr>
      <w:r>
        <w:t xml:space="preserve">scales;</w:t>
      </w:r>
    </w:p>
    <w:p>
      <w:pPr>
        <w:pStyle w:val="Compact"/>
        <w:numPr>
          <w:ilvl w:val="0"/>
          <w:numId w:val="1011"/>
        </w:numPr>
      </w:pPr>
      <w:r>
        <w:t xml:space="preserve">labels;</w:t>
      </w:r>
    </w:p>
    <w:p>
      <w:pPr>
        <w:pStyle w:val="Compact"/>
        <w:numPr>
          <w:ilvl w:val="0"/>
          <w:numId w:val="1011"/>
        </w:numPr>
      </w:pPr>
      <w:r>
        <w:t xml:space="preserve">rendering.</w:t>
      </w:r>
    </w:p>
    <w:p>
      <w:pPr>
        <w:pStyle w:val="FirstParagraph"/>
      </w:pPr>
      <w:r>
        <w:t xml:space="preserve">This is effectively the document’s master quality-control checklist.</w:t>
      </w:r>
    </w:p>
    <w:p>
      <w:r>
        <w:pict>
          <v:rect style="width:0;height:1.5pt" o:hralign="center" o:hrstd="t" o:hr="t"/>
        </w:pict>
      </w:r>
    </w:p>
    <w:bookmarkEnd w:id="39"/>
    <w:bookmarkStart w:id="40" w:name="appendix-a-of-the-avoids-inventory"/>
    <w:p>
      <w:pPr>
        <w:pStyle w:val="Heading2"/>
      </w:pPr>
      <w:r>
        <w:t xml:space="preserve">11. Appendix A of the Avoids Inventory</w:t>
      </w:r>
    </w:p>
    <w:p>
      <w:pPr>
        <w:pStyle w:val="FirstParagraph"/>
      </w:pPr>
      <w:r>
        <w:t xml:space="preserve">The appendix supplies 30 canonical references:</w:t>
      </w:r>
    </w:p>
    <w:p>
      <w:pPr>
        <w:pStyle w:val="Compact"/>
        <w:numPr>
          <w:ilvl w:val="0"/>
          <w:numId w:val="1012"/>
        </w:numPr>
      </w:pPr>
      <w:r>
        <w:t xml:space="preserve">REF-001: Fv −1, destination 0;</w:t>
      </w:r>
    </w:p>
    <w:p>
      <w:pPr>
        <w:pStyle w:val="Compact"/>
        <w:numPr>
          <w:ilvl w:val="0"/>
          <w:numId w:val="1012"/>
        </w:numPr>
      </w:pPr>
      <w:r>
        <w:t xml:space="preserve">REF-002: Fv 0, destination 1;</w:t>
      </w:r>
    </w:p>
    <w:p>
      <w:pPr>
        <w:pStyle w:val="Compact"/>
        <w:numPr>
          <w:ilvl w:val="0"/>
          <w:numId w:val="1012"/>
        </w:numPr>
      </w:pPr>
      <w:r>
        <w:t xml:space="preserve">continuing through</w:t>
      </w:r>
    </w:p>
    <w:p>
      <w:pPr>
        <w:pStyle w:val="Compact"/>
        <w:numPr>
          <w:ilvl w:val="0"/>
          <w:numId w:val="1012"/>
        </w:numPr>
      </w:pPr>
      <w:r>
        <w:t xml:space="preserve">REF-030: Fv 28, destination 514229.</w:t>
      </w:r>
    </w:p>
    <w:p>
      <w:pPr>
        <w:pStyle w:val="FirstParagraph"/>
      </w:pPr>
      <w:r>
        <w:t xml:space="preserve">Its role is to anchor all 100 avoid conditions to one explicit and stable destination sequence.</w:t>
      </w:r>
    </w:p>
    <w:p>
      <w:r>
        <w:pict>
          <v:rect style="width:0;height:1.5pt" o:hralign="center" o:hrstd="t" o:hr="t"/>
        </w:pict>
      </w:r>
    </w:p>
    <w:bookmarkEnd w:id="40"/>
    <w:bookmarkEnd w:id="41"/>
    <w:bookmarkStart w:id="64" w:name="part-ii-fibonacci-truth-inventory"/>
    <w:p>
      <w:pPr>
        <w:pStyle w:val="Heading1"/>
      </w:pPr>
      <w:r>
        <w:t xml:space="preserve">Part II: Fibonacci Truth Inventory</w:t>
      </w:r>
    </w:p>
    <w:bookmarkStart w:id="42" w:name="purpose-and-structure-1"/>
    <w:p>
      <w:pPr>
        <w:pStyle w:val="Heading2"/>
      </w:pPr>
      <w:r>
        <w:t xml:space="preserve">12. Purpose and structure</w:t>
      </w:r>
    </w:p>
    <w:p>
      <w:pPr>
        <w:pStyle w:val="FirstParagraph"/>
      </w:pPr>
      <w:r>
        <w:t xml:space="preserve">The second document is titled</w:t>
      </w:r>
      <w:r>
        <w:t xml:space="preserve"> </w:t>
      </w:r>
      <w:r>
        <w:rPr>
          <w:b/>
          <w:bCs/>
        </w:rPr>
        <w:t xml:space="preserve">Fibonacci Truth Inventory</w:t>
      </w:r>
      <w:r>
        <w:t xml:space="preserve">. It records canonical values, relationships, verified facts, and image-specific observations. Every entry has an identifier, a short label, and a concise declarative description. Mathematical facts and declared metaphor conventions are explicitly distinguished.</w:t>
      </w:r>
    </w:p>
    <w:p>
      <w:pPr>
        <w:pStyle w:val="BodyText"/>
      </w:pPr>
      <w:r>
        <w:t xml:space="preserve">Its 163 truth entries are divided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jc w:val="right"/>
            </w:pPr>
            <w:r>
              <w:t xml:space="preserve">Identifier range</w:t>
            </w:r>
          </w:p>
        </w:tc>
        <w:tc>
          <w:tcPr/>
          <w:p>
            <w:pPr>
              <w:pStyle w:val="Compact"/>
              <w:jc w:val="right"/>
            </w:pPr>
            <w:r>
              <w:t xml:space="preserve">Entries</w:t>
            </w:r>
          </w:p>
        </w:tc>
      </w:tr>
      <w:tr>
        <w:tc>
          <w:tcPr/>
          <w:p>
            <w:pPr>
              <w:pStyle w:val="Compact"/>
            </w:pPr>
            <w:r>
              <w:t xml:space="preserve">Fv naming and indexing</w:t>
            </w:r>
          </w:p>
        </w:tc>
        <w:tc>
          <w:tcPr/>
          <w:p>
            <w:pPr>
              <w:pStyle w:val="Compact"/>
              <w:jc w:val="right"/>
            </w:pPr>
            <w:r>
              <w:t xml:space="preserve">TR-001–TR-015</w:t>
            </w:r>
          </w:p>
        </w:tc>
        <w:tc>
          <w:tcPr/>
          <w:p>
            <w:pPr>
              <w:pStyle w:val="Compact"/>
              <w:jc w:val="right"/>
            </w:pPr>
            <w:r>
              <w:t xml:space="preserve">15</w:t>
            </w:r>
          </w:p>
        </w:tc>
      </w:tr>
      <w:tr>
        <w:tc>
          <w:tcPr/>
          <w:p>
            <w:pPr>
              <w:pStyle w:val="Compact"/>
            </w:pPr>
            <w:r>
              <w:t xml:space="preserve">Canonical destination sequence</w:t>
            </w:r>
          </w:p>
        </w:tc>
        <w:tc>
          <w:tcPr/>
          <w:p>
            <w:pPr>
              <w:pStyle w:val="Compact"/>
              <w:jc w:val="right"/>
            </w:pPr>
            <w:r>
              <w:t xml:space="preserve">TR-016–TR-045</w:t>
            </w:r>
          </w:p>
        </w:tc>
        <w:tc>
          <w:tcPr/>
          <w:p>
            <w:pPr>
              <w:pStyle w:val="Compact"/>
              <w:jc w:val="right"/>
            </w:pPr>
            <w:r>
              <w:t xml:space="preserve">30</w:t>
            </w:r>
          </w:p>
        </w:tc>
      </w:tr>
      <w:tr>
        <w:tc>
          <w:tcPr/>
          <w:p>
            <w:pPr>
              <w:pStyle w:val="Compact"/>
            </w:pPr>
            <w:r>
              <w:t xml:space="preserve">Forward-ratio inventory</w:t>
            </w:r>
          </w:p>
        </w:tc>
        <w:tc>
          <w:tcPr/>
          <w:p>
            <w:pPr>
              <w:pStyle w:val="Compact"/>
              <w:jc w:val="right"/>
            </w:pPr>
            <w:r>
              <w:t xml:space="preserve">TR-046–TR-073</w:t>
            </w:r>
          </w:p>
        </w:tc>
        <w:tc>
          <w:tcPr/>
          <w:p>
            <w:pPr>
              <w:pStyle w:val="Compact"/>
              <w:jc w:val="right"/>
            </w:pPr>
            <w:r>
              <w:t xml:space="preserve">28</w:t>
            </w:r>
          </w:p>
        </w:tc>
      </w:tr>
      <w:tr>
        <w:tc>
          <w:tcPr/>
          <w:p>
            <w:pPr>
              <w:pStyle w:val="Compact"/>
            </w:pPr>
            <w:r>
              <w:t xml:space="preserve">Reciprocal-ratio sample</w:t>
            </w:r>
          </w:p>
        </w:tc>
        <w:tc>
          <w:tcPr/>
          <w:p>
            <w:pPr>
              <w:pStyle w:val="Compact"/>
              <w:jc w:val="right"/>
            </w:pPr>
            <w:r>
              <w:t xml:space="preserve">TR-074–TR-085</w:t>
            </w:r>
          </w:p>
        </w:tc>
        <w:tc>
          <w:tcPr/>
          <w:p>
            <w:pPr>
              <w:pStyle w:val="Compact"/>
              <w:jc w:val="right"/>
            </w:pPr>
            <w:r>
              <w:t xml:space="preserve">12</w:t>
            </w:r>
          </w:p>
        </w:tc>
      </w:tr>
      <w:tr>
        <w:tc>
          <w:tcPr/>
          <w:p>
            <w:pPr>
              <w:pStyle w:val="Compact"/>
            </w:pPr>
            <w:r>
              <w:t xml:space="preserve">Limits, errors, and time-reference facts</w:t>
            </w:r>
          </w:p>
        </w:tc>
        <w:tc>
          <w:tcPr/>
          <w:p>
            <w:pPr>
              <w:pStyle w:val="Compact"/>
              <w:jc w:val="right"/>
            </w:pPr>
            <w:r>
              <w:t xml:space="preserve">TR-086–TR-110</w:t>
            </w:r>
          </w:p>
        </w:tc>
        <w:tc>
          <w:tcPr/>
          <w:p>
            <w:pPr>
              <w:pStyle w:val="Compact"/>
              <w:jc w:val="right"/>
            </w:pPr>
            <w:r>
              <w:t xml:space="preserve">25</w:t>
            </w:r>
          </w:p>
        </w:tc>
      </w:tr>
      <w:tr>
        <w:tc>
          <w:tcPr/>
          <w:p>
            <w:pPr>
              <w:pStyle w:val="Compact"/>
            </w:pPr>
            <w:r>
              <w:t xml:space="preserve">Visualization and measurement facts</w:t>
            </w:r>
          </w:p>
        </w:tc>
        <w:tc>
          <w:tcPr/>
          <w:p>
            <w:pPr>
              <w:pStyle w:val="Compact"/>
              <w:jc w:val="right"/>
            </w:pPr>
            <w:r>
              <w:t xml:space="preserve">TR-111–TR-130</w:t>
            </w:r>
          </w:p>
        </w:tc>
        <w:tc>
          <w:tcPr/>
          <w:p>
            <w:pPr>
              <w:pStyle w:val="Compact"/>
              <w:jc w:val="right"/>
            </w:pPr>
            <w:r>
              <w:t xml:space="preserve">20</w:t>
            </w:r>
          </w:p>
        </w:tc>
      </w:tr>
      <w:tr>
        <w:tc>
          <w:tcPr/>
          <w:p>
            <w:pPr>
              <w:pStyle w:val="Compact"/>
            </w:pPr>
            <w:r>
              <w:t xml:space="preserve">Geometric construction facts</w:t>
            </w:r>
          </w:p>
        </w:tc>
        <w:tc>
          <w:tcPr/>
          <w:p>
            <w:pPr>
              <w:pStyle w:val="Compact"/>
              <w:jc w:val="right"/>
            </w:pPr>
            <w:r>
              <w:t xml:space="preserve">TR-131–TR-140</w:t>
            </w:r>
          </w:p>
        </w:tc>
        <w:tc>
          <w:tcPr/>
          <w:p>
            <w:pPr>
              <w:pStyle w:val="Compact"/>
              <w:jc w:val="right"/>
            </w:pPr>
            <w:r>
              <w:t xml:space="preserve">10</w:t>
            </w:r>
          </w:p>
        </w:tc>
      </w:tr>
      <w:tr>
        <w:tc>
          <w:tcPr/>
          <w:p>
            <w:pPr>
              <w:pStyle w:val="Compact"/>
            </w:pPr>
            <w:r>
              <w:t xml:space="preserve">Verified facts about uploaded images</w:t>
            </w:r>
          </w:p>
        </w:tc>
        <w:tc>
          <w:tcPr/>
          <w:p>
            <w:pPr>
              <w:pStyle w:val="Compact"/>
              <w:jc w:val="right"/>
            </w:pPr>
            <w:r>
              <w:t xml:space="preserve">TR-141–TR-163</w:t>
            </w:r>
          </w:p>
        </w:tc>
        <w:tc>
          <w:tcPr/>
          <w:p>
            <w:pPr>
              <w:pStyle w:val="Compact"/>
              <w:jc w:val="right"/>
            </w:pPr>
            <w:r>
              <w:t xml:space="preserve">23</w:t>
            </w:r>
          </w:p>
        </w:tc>
      </w:tr>
    </w:tbl>
    <w:p>
      <w:pPr>
        <w:pStyle w:val="BodyText"/>
      </w:pPr>
      <w:r>
        <w:t xml:space="preserve">A compact 30-row destination table follows the main inventory.</w:t>
      </w:r>
    </w:p>
    <w:p>
      <w:r>
        <w:pict>
          <v:rect style="width:0;height:1.5pt" o:hralign="center" o:hrstd="t" o:hr="t"/>
        </w:pict>
      </w:r>
    </w:p>
    <w:bookmarkEnd w:id="42"/>
    <w:bookmarkStart w:id="43" w:name="section-1-fv-naming-and-indexing"/>
    <w:p>
      <w:pPr>
        <w:pStyle w:val="Heading2"/>
      </w:pPr>
      <w:r>
        <w:t xml:space="preserve">13. Section 1: Fv naming and indexing</w:t>
      </w:r>
    </w:p>
    <w:p>
      <w:pPr>
        <w:pStyle w:val="FirstParagraph"/>
      </w:pPr>
      <w:r>
        <w:t xml:space="preserve">TR-001 through TR-015 define the system.</w:t>
      </w:r>
    </w:p>
    <w:p>
      <w:pPr>
        <w:pStyle w:val="BodyText"/>
      </w:pPr>
      <w:r>
        <w:t xml:space="preserve">They establish that:</w:t>
      </w:r>
    </w:p>
    <w:p>
      <w:pPr>
        <w:pStyle w:val="Compact"/>
        <w:numPr>
          <w:ilvl w:val="0"/>
          <w:numId w:val="1013"/>
        </w:numPr>
      </w:pPr>
      <w:r>
        <w:t xml:space="preserve">Fv identifies a process step;</w:t>
      </w:r>
    </w:p>
    <w:p>
      <w:pPr>
        <w:pStyle w:val="Compact"/>
        <w:numPr>
          <w:ilvl w:val="0"/>
          <w:numId w:val="1013"/>
        </w:numPr>
      </w:pPr>
      <w:r>
        <w:t xml:space="preserve">(D_v) identifies the destination at that step;</w:t>
      </w:r>
    </w:p>
    <w:p>
      <w:pPr>
        <w:pStyle w:val="Compact"/>
        <w:numPr>
          <w:ilvl w:val="0"/>
          <w:numId w:val="1013"/>
        </w:numPr>
      </w:pPr>
      <w:r>
        <w:t xml:space="preserve">Fv −1 has destination 0;</w:t>
      </w:r>
    </w:p>
    <w:p>
      <w:pPr>
        <w:pStyle w:val="Compact"/>
        <w:numPr>
          <w:ilvl w:val="0"/>
          <w:numId w:val="1013"/>
        </w:numPr>
      </w:pPr>
      <w:r>
        <w:t xml:space="preserve">Fv 0 and Fv 1 both have destination 1;</w:t>
      </w:r>
    </w:p>
    <w:p>
      <w:pPr>
        <w:pStyle w:val="Compact"/>
        <w:numPr>
          <w:ilvl w:val="0"/>
          <w:numId w:val="1013"/>
        </w:numPr>
      </w:pPr>
      <w:r>
        <w:t xml:space="preserve">for (v</w:t>
      </w:r>
      <w:r>
        <w:t xml:space="preserve">),</w:t>
      </w:r>
    </w:p>
    <w:p>
      <w:pPr>
        <w:pStyle w:val="FirstParagraph"/>
      </w:pPr>
      <w:r>
        <w:t xml:space="preserve">[</w:t>
      </w:r>
      <w:r>
        <w:t xml:space="preserve"> </w:t>
      </w:r>
      <w:r>
        <w:t xml:space="preserve">D_v=D_{v-1}+D_{v-2};</w:t>
      </w:r>
      <w:r>
        <w:t xml:space="preserve"> </w:t>
      </w:r>
      <w:r>
        <w:t xml:space="preserve">]</w:t>
      </w:r>
    </w:p>
    <w:p>
      <w:pPr>
        <w:pStyle w:val="Compact"/>
        <w:numPr>
          <w:ilvl w:val="0"/>
          <w:numId w:val="1014"/>
        </w:numPr>
      </w:pPr>
      <w:r>
        <w:t xml:space="preserve">(D_v=F_{v+1}) under conventional indexing;</w:t>
      </w:r>
    </w:p>
    <w:p>
      <w:pPr>
        <w:pStyle w:val="Compact"/>
        <w:numPr>
          <w:ilvl w:val="0"/>
          <w:numId w:val="1014"/>
        </w:numPr>
      </w:pPr>
      <w:r>
        <w:t xml:space="preserve">Fv −1 through Fv 28 contains 30 destinations and 29 transitions;</w:t>
      </w:r>
    </w:p>
    <w:p>
      <w:pPr>
        <w:pStyle w:val="Compact"/>
        <w:numPr>
          <w:ilvl w:val="0"/>
          <w:numId w:val="1014"/>
        </w:numPr>
      </w:pPr>
      <w:r>
        <w:t xml:space="preserve">all stated destinations are nonnegative integers;</w:t>
      </w:r>
    </w:p>
    <w:p>
      <w:pPr>
        <w:pStyle w:val="Compact"/>
        <w:numPr>
          <w:ilvl w:val="0"/>
          <w:numId w:val="1014"/>
        </w:numPr>
      </w:pPr>
      <w:r>
        <w:t xml:space="preserve">1 is the only repeated positive destination in the initial sequence;</w:t>
      </w:r>
    </w:p>
    <w:p>
      <w:pPr>
        <w:pStyle w:val="Compact"/>
        <w:numPr>
          <w:ilvl w:val="0"/>
          <w:numId w:val="1014"/>
        </w:numPr>
      </w:pPr>
      <w:r>
        <w:t xml:space="preserve">strict growth begins after the duplicated ones;</w:t>
      </w:r>
    </w:p>
    <w:p>
      <w:pPr>
        <w:pStyle w:val="Compact"/>
        <w:numPr>
          <w:ilvl w:val="0"/>
          <w:numId w:val="1014"/>
        </w:numPr>
      </w:pPr>
      <w:r>
        <w:t xml:space="preserve">“prior destination”</w:t>
      </w:r>
      <w:r>
        <w:t xml:space="preserve"> </w:t>
      </w:r>
      <w:r>
        <w:t xml:space="preserve">and</w:t>
      </w:r>
      <w:r>
        <w:t xml:space="preserve"> </w:t>
      </w:r>
      <w:r>
        <w:t xml:space="preserve">“next destination”</w:t>
      </w:r>
      <w:r>
        <w:t xml:space="preserve"> </w:t>
      </w:r>
      <w:r>
        <w:t xml:space="preserve">have explicit meanings;</w:t>
      </w:r>
    </w:p>
    <w:p>
      <w:pPr>
        <w:pStyle w:val="Compact"/>
        <w:numPr>
          <w:ilvl w:val="0"/>
          <w:numId w:val="1014"/>
        </w:numPr>
      </w:pPr>
      <w:r>
        <w:t xml:space="preserve">the unambiguous textual form is</w:t>
      </w:r>
      <w:r>
        <w:t xml:space="preserve"> </w:t>
      </w:r>
      <w:r>
        <w:t xml:space="preserve">“Fv v → destination (D_v).”</w:t>
      </w:r>
    </w:p>
    <w:p>
      <w:r>
        <w:pict>
          <v:rect style="width:0;height:1.5pt" o:hralign="center" o:hrstd="t" o:hr="t"/>
        </w:pict>
      </w:r>
    </w:p>
    <w:bookmarkEnd w:id="43"/>
    <w:bookmarkStart w:id="44" w:name="section-2-canonical-destination-sequence"/>
    <w:p>
      <w:pPr>
        <w:pStyle w:val="Heading2"/>
      </w:pPr>
      <w:r>
        <w:t xml:space="preserve">14. Section 2: canonical destination sequence</w:t>
      </w:r>
    </w:p>
    <w:p>
      <w:pPr>
        <w:pStyle w:val="FirstParagraph"/>
      </w:pPr>
      <w:r>
        <w:t xml:space="preserve">TR-016 through TR-045 list every destination individually:</w:t>
      </w:r>
    </w:p>
    <w:p>
      <w:pPr>
        <w:pStyle w:val="BodyText"/>
      </w:pPr>
      <w:r>
        <w:t xml:space="preserve">[</w:t>
      </w:r>
      <w:r>
        <w:t xml:space="preserve"> </w:t>
      </w:r>
      <w:r>
        <w:t xml:space="preserve">0, 1, 1, 2, 3, 5, 8, 13, 21, 34, 55, 89, 144, 233, 377,</w:t>
      </w:r>
      <w:r>
        <w:t xml:space="preserve"> </w:t>
      </w:r>
      <w:r>
        <w:t xml:space="preserve">]</w:t>
      </w:r>
      <w:r>
        <w:t xml:space="preserve"> </w:t>
      </w:r>
      <w:r>
        <w:t xml:space="preserve">[</w:t>
      </w:r>
      <w:r>
        <w:t xml:space="preserve"> </w:t>
      </w:r>
      <w:r>
        <w:t xml:space="preserve">610, 987, 1597, 2584, 4181, 6765, 10946, 17711, 28657, 46368,</w:t>
      </w:r>
      <w:r>
        <w:t xml:space="preserve"> </w:t>
      </w:r>
      <w:r>
        <w:t xml:space="preserve">]</w:t>
      </w:r>
      <w:r>
        <w:t xml:space="preserve"> </w:t>
      </w:r>
      <w:r>
        <w:t xml:space="preserve">[</w:t>
      </w:r>
      <w:r>
        <w:t xml:space="preserve"> </w:t>
      </w:r>
      <w:r>
        <w:t xml:space="preserve">75025, 121393, 196418, 317811, 514229.</w:t>
      </w:r>
      <w:r>
        <w:t xml:space="preserve"> </w:t>
      </w:r>
      <w:r>
        <w:t xml:space="preserve">]</w:t>
      </w:r>
    </w:p>
    <w:p>
      <w:pPr>
        <w:pStyle w:val="BodyText"/>
      </w:pPr>
      <w:r>
        <w:t xml:space="preserve">These correspond respectively to Fv −1 through Fv 28. Both initial ones are preserved as distinct steps.</w:t>
      </w:r>
    </w:p>
    <w:p>
      <w:pPr>
        <w:pStyle w:val="BodyText"/>
      </w:pPr>
      <w:r>
        <w:t xml:space="preserve">The values are also restated in the appendix with their conventional indices (F_0) through (F_{29}).</w:t>
      </w:r>
    </w:p>
    <w:p>
      <w:r>
        <w:pict>
          <v:rect style="width:0;height:1.5pt" o:hralign="center" o:hrstd="t" o:hr="t"/>
        </w:pict>
      </w:r>
    </w:p>
    <w:bookmarkEnd w:id="44"/>
    <w:bookmarkStart w:id="45" w:name="X6361b0c5aea2cb6afd3aca0050225c4bbef814d"/>
    <w:p>
      <w:pPr>
        <w:pStyle w:val="Heading2"/>
      </w:pPr>
      <w:r>
        <w:t xml:space="preserve">15. Section 3: complete forward-ratio inventory</w:t>
      </w:r>
    </w:p>
    <w:p>
      <w:pPr>
        <w:pStyle w:val="FirstParagraph"/>
      </w:pPr>
      <w:r>
        <w:t xml:space="preserve">TR-046 through TR-073 provide every defined forward ratio from Fv 1 through Fv 28.</w:t>
      </w:r>
    </w:p>
    <w:p>
      <w:pPr>
        <w:pStyle w:val="BodyText"/>
      </w:pPr>
      <w:r>
        <w:t xml:space="preserve">Each entry includes:</w:t>
      </w:r>
    </w:p>
    <w:p>
      <w:pPr>
        <w:pStyle w:val="Compact"/>
        <w:numPr>
          <w:ilvl w:val="0"/>
          <w:numId w:val="1015"/>
        </w:numPr>
      </w:pPr>
      <w:r>
        <w:t xml:space="preserve">the step number;</w:t>
      </w:r>
    </w:p>
    <w:p>
      <w:pPr>
        <w:pStyle w:val="Compact"/>
        <w:numPr>
          <w:ilvl w:val="0"/>
          <w:numId w:val="1015"/>
        </w:numPr>
      </w:pPr>
      <w:r>
        <w:t xml:space="preserve">the symbolic expression (R_v=D_v/D_{v-1});</w:t>
      </w:r>
    </w:p>
    <w:p>
      <w:pPr>
        <w:pStyle w:val="Compact"/>
        <w:numPr>
          <w:ilvl w:val="0"/>
          <w:numId w:val="1015"/>
        </w:numPr>
      </w:pPr>
      <w:r>
        <w:t xml:space="preserve">the exact integer numerator and denominator;</w:t>
      </w:r>
    </w:p>
    <w:p>
      <w:pPr>
        <w:pStyle w:val="Compact"/>
        <w:numPr>
          <w:ilvl w:val="0"/>
          <w:numId w:val="1015"/>
        </w:numPr>
      </w:pPr>
      <w:r>
        <w:t xml:space="preserve">a decimal rounded to 12 places.</w:t>
      </w:r>
    </w:p>
    <w:p>
      <w:pPr>
        <w:pStyle w:val="FirstParagraph"/>
      </w:pPr>
      <w:r>
        <w:t xml:space="preserve">The sequence begins:</w:t>
      </w:r>
    </w:p>
    <w:p>
      <w:pPr>
        <w:pStyle w:val="BodyText"/>
      </w:pPr>
      <w:r>
        <w:t xml:space="preserve">[</w:t>
      </w:r>
      <w:r>
        <w:t xml:space="preserve"> </w:t>
      </w:r>
      <w:r>
        <w:t xml:space="preserve">R_1=</w:t>
      </w:r>
      <w:r>
        <w:t xml:space="preserve">=1,</w:t>
      </w:r>
      <w:r>
        <w:t xml:space="preserve"> </w:t>
      </w:r>
      <w:r>
        <w:t xml:space="preserve">]</w:t>
      </w:r>
      <w:r>
        <w:t xml:space="preserve"> </w:t>
      </w:r>
      <w:r>
        <w:t xml:space="preserve">[</w:t>
      </w:r>
      <w:r>
        <w:t xml:space="preserve"> </w:t>
      </w:r>
      <w:r>
        <w:t xml:space="preserve">R_2=</w:t>
      </w:r>
      <w:r>
        <w:t xml:space="preserve">=2,</w:t>
      </w:r>
      <w:r>
        <w:t xml:space="preserve"> </w:t>
      </w:r>
      <w:r>
        <w:t xml:space="preserve">]</w:t>
      </w:r>
      <w:r>
        <w:t xml:space="preserve"> </w:t>
      </w:r>
      <w:r>
        <w:t xml:space="preserve">[</w:t>
      </w:r>
      <w:r>
        <w:t xml:space="preserve"> </w:t>
      </w:r>
      <w:r>
        <w:t xml:space="preserve">R_3=</w:t>
      </w:r>
      <w:r>
        <w:t xml:space="preserve">=1.5,</w:t>
      </w:r>
      <w:r>
        <w:t xml:space="preserve"> </w:t>
      </w:r>
      <w:r>
        <w:t xml:space="preserve">]</w:t>
      </w:r>
      <w:r>
        <w:t xml:space="preserve"> </w:t>
      </w:r>
      <w:r>
        <w:t xml:space="preserve">[</w:t>
      </w:r>
      <w:r>
        <w:t xml:space="preserve"> </w:t>
      </w:r>
      <w:r>
        <w:t xml:space="preserve">R_4=</w:t>
      </w:r>
      <w:r>
        <w:t xml:space="preserve">,</w:t>
      </w:r>
      <w:r>
        <w:t xml:space="preserve"> </w:t>
      </w:r>
      <w:r>
        <w:t xml:space="preserve">]</w:t>
      </w:r>
    </w:p>
    <w:p>
      <w:pPr>
        <w:pStyle w:val="BodyText"/>
      </w:pPr>
      <w:r>
        <w:t xml:space="preserve">and ends with:</w:t>
      </w:r>
    </w:p>
    <w:p>
      <w:pPr>
        <w:pStyle w:val="BodyText"/>
      </w:pPr>
      <w:r>
        <w:t xml:space="preserve">[</w:t>
      </w:r>
      <w:r>
        <w:t xml:space="preserve"> </w:t>
      </w:r>
      <w:r>
        <w:t xml:space="preserve">R_{28}=</w:t>
      </w:r>
      <w:r>
        <w:t xml:space="preserve">.</w:t>
      </w:r>
      <w:r>
        <w:t xml:space="preserve"> </w:t>
      </w:r>
      <w:r>
        <w:t xml:space="preserve">]</w:t>
      </w:r>
    </w:p>
    <w:p>
      <w:pPr>
        <w:pStyle w:val="BodyText"/>
      </w:pPr>
      <w:r>
        <w:t xml:space="preserve">The intermediate values alternate around (</w:t>
      </w:r>
      <w:r>
        <w:t xml:space="preserve">), drawing progressively closer to it.</w:t>
      </w:r>
    </w:p>
    <w:p>
      <w:pPr>
        <w:pStyle w:val="BodyText"/>
      </w:pPr>
      <w:r>
        <w:t xml:space="preserve">An important strength of this section is that every decimal remains connected to its exact source fraction. It does not present floating-point values without their generating destinations.</w:t>
      </w:r>
    </w:p>
    <w:p>
      <w:r>
        <w:pict>
          <v:rect style="width:0;height:1.5pt" o:hralign="center" o:hrstd="t" o:hr="t"/>
        </w:pict>
      </w:r>
    </w:p>
    <w:bookmarkEnd w:id="45"/>
    <w:bookmarkStart w:id="46" w:name="section-4-reciprocal-ratio-sample"/>
    <w:p>
      <w:pPr>
        <w:pStyle w:val="Heading2"/>
      </w:pPr>
      <w:r>
        <w:t xml:space="preserve">16. Section 4: reciprocal-ratio sample</w:t>
      </w:r>
    </w:p>
    <w:p>
      <w:pPr>
        <w:pStyle w:val="FirstParagraph"/>
      </w:pPr>
      <w:r>
        <w:t xml:space="preserve">TR-074 through TR-085 present reciprocal ratios from Fv 1 through Fv 12:</w:t>
      </w:r>
    </w:p>
    <w:p>
      <w:pPr>
        <w:pStyle w:val="BodyText"/>
      </w:pPr>
      <w:r>
        <w:t xml:space="preserve">[</w:t>
      </w:r>
      <w:r>
        <w:t xml:space="preserve"> </w:t>
      </w:r>
      <w:r>
        <w:t xml:space="preserve">Q_v=</w:t>
      </w:r>
      <w:r>
        <w:t xml:space="preserve">.</w:t>
      </w:r>
      <w:r>
        <w:t xml:space="preserve"> </w:t>
      </w:r>
      <w:r>
        <w:t xml:space="preserve">]</w:t>
      </w:r>
    </w:p>
    <w:p>
      <w:pPr>
        <w:pStyle w:val="BodyText"/>
      </w:pPr>
      <w:r>
        <w:t xml:space="preserve">The sample begins:</w:t>
      </w:r>
    </w:p>
    <w:p>
      <w:pPr>
        <w:pStyle w:val="BodyText"/>
      </w:pPr>
      <w:r>
        <w:t xml:space="preserve">[</w:t>
      </w:r>
      <w:r>
        <w:t xml:space="preserve"> </w:t>
      </w:r>
      <w:r>
        <w:t xml:space="preserve">Q_1=1,</w:t>
      </w:r>
      <w:r>
        <w:t xml:space="preserve"> </w:t>
      </w:r>
      <w:r>
        <w:t xml:space="preserve">Q_2=</w:t>
      </w:r>
      <w:r>
        <w:t xml:space="preserve">,</w:t>
      </w:r>
      <w:r>
        <w:t xml:space="preserve"> </w:t>
      </w:r>
      <w:r>
        <w:t xml:space="preserve">Q_3=</w:t>
      </w:r>
      <w:r>
        <w:t xml:space="preserve">,</w:t>
      </w:r>
      <w:r>
        <w:t xml:space="preserve"> </w:t>
      </w:r>
      <w:r>
        <w:t xml:space="preserve">Q_4=</w:t>
      </w:r>
      <w:r>
        <w:t xml:space="preserve">,</w:t>
      </w:r>
      <w:r>
        <w:t xml:space="preserve"> </w:t>
      </w:r>
      <w:r>
        <w:t xml:space="preserve">]</w:t>
      </w:r>
    </w:p>
    <w:p>
      <w:pPr>
        <w:pStyle w:val="BodyText"/>
      </w:pPr>
      <w:r>
        <w:t xml:space="preserve">and continues with alternating approximations to (1/</w:t>
      </w:r>
      <w:r>
        <w:t xml:space="preserve">).</w:t>
      </w:r>
    </w:p>
    <w:p>
      <w:pPr>
        <w:pStyle w:val="BodyText"/>
      </w:pPr>
      <w:r>
        <w:t xml:space="preserve">This section is explicitly a</w:t>
      </w:r>
      <w:r>
        <w:t xml:space="preserve"> </w:t>
      </w:r>
      <w:r>
        <w:rPr>
          <w:b/>
          <w:bCs/>
        </w:rPr>
        <w:t xml:space="preserve">sample</w:t>
      </w:r>
      <w:r>
        <w:t xml:space="preserve">, not a complete reciprocal inventory through Fv 28. That is one of the few intentional asymmetries in the Truth Inventory: the forward-ratio list is complete over the declared range, while the reciprocal-ratio list stops at Fv 12.</w:t>
      </w:r>
    </w:p>
    <w:p>
      <w:r>
        <w:pict>
          <v:rect style="width:0;height:1.5pt" o:hralign="center" o:hrstd="t" o:hr="t"/>
        </w:pict>
      </w:r>
    </w:p>
    <w:bookmarkEnd w:id="46"/>
    <w:bookmarkStart w:id="52" w:name="Xc2cd91298ae71c307c97c8a67a818943e35a61b"/>
    <w:p>
      <w:pPr>
        <w:pStyle w:val="Heading2"/>
      </w:pPr>
      <w:r>
        <w:t xml:space="preserve">17. Section 5: limits, errors, and time-reference facts</w:t>
      </w:r>
    </w:p>
    <w:p>
      <w:pPr>
        <w:pStyle w:val="FirstParagraph"/>
      </w:pPr>
      <w:r>
        <w:t xml:space="preserve">TR-086 through TR-110 consolidate the documents’ main analytical mathematics.</w:t>
      </w:r>
    </w:p>
    <w:bookmarkStart w:id="47" w:name="constants-and-limits"/>
    <w:p>
      <w:pPr>
        <w:pStyle w:val="Heading3"/>
      </w:pPr>
      <w:r>
        <w:t xml:space="preserve">Constants and limits</w:t>
      </w:r>
    </w:p>
    <w:p>
      <w:pPr>
        <w:pStyle w:val="FirstParagraph"/>
      </w:pPr>
      <w:r>
        <w:t xml:space="preserve">[</w:t>
      </w:r>
      <w:r>
        <w:t xml:space="preserve"> </w:t>
      </w:r>
      <w:r>
        <w:t xml:space="preserve">=</w:t>
      </w:r>
      <w:r>
        <w:t xml:space="preserve">=1.618033988749895,</w:t>
      </w:r>
      <w:r>
        <w:t xml:space="preserve"> </w:t>
      </w:r>
      <w:r>
        <w:t xml:space="preserve">]</w:t>
      </w:r>
    </w:p>
    <w:p>
      <w:pPr>
        <w:pStyle w:val="BodyText"/>
      </w:pPr>
      <w:r>
        <w:t xml:space="preserve">[</w:t>
      </w:r>
      <w:r>
        <w:t xml:space="preserve"> </w:t>
      </w:r>
      <w:r>
        <w:t xml:space="preserve">=</w:t>
      </w:r>
      <w:r>
        <w:t xml:space="preserve">=0.618033988749895.</w:t>
      </w:r>
      <w:r>
        <w:t xml:space="preserve"> </w:t>
      </w:r>
      <w:r>
        <w:t xml:space="preserve">]</w:t>
      </w:r>
    </w:p>
    <w:p>
      <w:pPr>
        <w:pStyle w:val="BodyText"/>
      </w:pPr>
      <w:r>
        <w:t xml:space="preserve">The forward ratios approach (</w:t>
      </w:r>
      <w:r>
        <w:t xml:space="preserve">); the reciprocal ratios approach (1/</w:t>
      </w:r>
      <w:r>
        <w:t xml:space="preserve">).</w:t>
      </w:r>
    </w:p>
    <w:bookmarkEnd w:id="47"/>
    <w:bookmarkStart w:id="48" w:name="ratio-recurrence"/>
    <w:p>
      <w:pPr>
        <w:pStyle w:val="Heading3"/>
      </w:pPr>
      <w:r>
        <w:t xml:space="preserve">Ratio recurrence</w:t>
      </w:r>
    </w:p>
    <w:p>
      <w:pPr>
        <w:pStyle w:val="FirstParagraph"/>
      </w:pPr>
      <w:r>
        <w:t xml:space="preserve">The forward ratios satisfy:</w:t>
      </w:r>
    </w:p>
    <w:p>
      <w:pPr>
        <w:pStyle w:val="BodyText"/>
      </w:pPr>
      <w:r>
        <w:t xml:space="preserve">[</w:t>
      </w:r>
      <w:r>
        <w:t xml:space="preserve"> </w:t>
      </w:r>
      <w:r>
        <w:t xml:space="preserve">R_{v+1}=1+</w:t>
      </w:r>
      <w:r>
        <w:t xml:space="preserve">.</w:t>
      </w:r>
      <w:r>
        <w:t xml:space="preserve"> </w:t>
      </w:r>
      <w:r>
        <w:t xml:space="preserve">]</w:t>
      </w:r>
    </w:p>
    <w:p>
      <w:pPr>
        <w:pStyle w:val="BodyText"/>
      </w:pPr>
      <w:r>
        <w:t xml:space="preserve">This relation explains why each new ratio is generated from the preceding ratio rather than behaving as an unrelated list of fractions.</w:t>
      </w:r>
    </w:p>
    <w:bookmarkEnd w:id="48"/>
    <w:bookmarkStart w:id="49" w:name="signed-error-identity"/>
    <w:p>
      <w:pPr>
        <w:pStyle w:val="Heading3"/>
      </w:pPr>
      <w:r>
        <w:t xml:space="preserve">Signed-error identity</w:t>
      </w:r>
    </w:p>
    <w:p>
      <w:pPr>
        <w:pStyle w:val="FirstParagraph"/>
      </w:pPr>
      <w:r>
        <w:t xml:space="preserve">The signed error obeys:</w:t>
      </w:r>
    </w:p>
    <w:p>
      <w:pPr>
        <w:pStyle w:val="BodyText"/>
      </w:pPr>
      <w:r>
        <w:t xml:space="preserve">[</w:t>
      </w:r>
      <w:r>
        <w:t xml:space="preserve"> </w:t>
      </w:r>
      <w:r>
        <w:t xml:space="preserve">R_{v+1}-</w:t>
      </w:r>
      <w:r>
        <w:t xml:space="preserve"> </w:t>
      </w:r>
      <w:r>
        <w:t xml:space="preserve">=</w:t>
      </w:r>
      <w:r>
        <w:t xml:space="preserve"> </w:t>
      </w:r>
      <w:r>
        <w:t xml:space="preserve">-</w:t>
      </w:r>
      <w:r>
        <w:t xml:space="preserve">.</w:t>
      </w:r>
      <w:r>
        <w:t xml:space="preserve"> </w:t>
      </w:r>
      <w:r>
        <w:t xml:space="preserve">]</w:t>
      </w:r>
    </w:p>
    <w:p>
      <w:pPr>
        <w:pStyle w:val="BodyText"/>
      </w:pPr>
      <w:r>
        <w:t xml:space="preserve">The negative sign explains the alternating sides of (</w:t>
      </w:r>
      <w:r>
        <w:t xml:space="preserve">). The denominator explains the shrinking magnitude. The ratio of successive error magnitudes approaches:</w:t>
      </w:r>
    </w:p>
    <w:p>
      <w:pPr>
        <w:pStyle w:val="BodyText"/>
      </w:pPr>
      <w:r>
        <w:t xml:space="preserve">[</w:t>
      </w:r>
      <w:r>
        <w:t xml:space="preserve"> </w:t>
      </w:r>
      <w:r>
        <w:t xml:space="preserve">.</w:t>
      </w:r>
      <w:r>
        <w:t xml:space="preserve"> </w:t>
      </w:r>
      <w:r>
        <w:t xml:space="preserve">]</w:t>
      </w:r>
    </w:p>
    <w:p>
      <w:pPr>
        <w:pStyle w:val="BodyText"/>
      </w:pPr>
      <w:r>
        <w:t xml:space="preserve">The document correctly describes this as an asymptotic factor rather than a fixed finite-step multiplier.</w:t>
      </w:r>
    </w:p>
    <w:bookmarkEnd w:id="49"/>
    <w:bookmarkStart w:id="50" w:name="Xb10bfb0221c2064b2107c52c95bfe3579e26d91"/>
    <w:p>
      <w:pPr>
        <w:pStyle w:val="Heading3"/>
      </w:pPr>
      <w:r>
        <w:t xml:space="preserve">Rational approximations and irrational limits</w:t>
      </w:r>
    </w:p>
    <w:p>
      <w:pPr>
        <w:pStyle w:val="FirstParagraph"/>
      </w:pPr>
      <w:r>
        <w:t xml:space="preserve">Every finite Fibonacci ratio is rational, whereas (</w:t>
      </w:r>
      <w:r>
        <w:t xml:space="preserve">) and (1/</w:t>
      </w:r>
      <w:r>
        <w:t xml:space="preserve">) are irrational. Therefore no finite forward ratio equals (</w:t>
      </w:r>
      <w:r>
        <w:t xml:space="preserve">), and no finite reciprocal ratio equals (1/</w:t>
      </w:r>
      <w:r>
        <w:t xml:space="preserve">).</w:t>
      </w:r>
    </w:p>
    <w:bookmarkEnd w:id="50"/>
    <w:bookmarkStart w:id="51" w:name="time-reference-mapping"/>
    <w:p>
      <w:pPr>
        <w:pStyle w:val="Heading3"/>
      </w:pPr>
      <w:r>
        <w:t xml:space="preserve">Time-reference mapping</w:t>
      </w:r>
    </w:p>
    <w:p>
      <w:pPr>
        <w:pStyle w:val="FirstParagraph"/>
      </w:pPr>
      <w:r>
        <w:t xml:space="preserve">The document declares:</w:t>
      </w:r>
    </w:p>
    <w:p>
      <w:pPr>
        <w:pStyle w:val="Compact"/>
        <w:numPr>
          <w:ilvl w:val="0"/>
          <w:numId w:val="1016"/>
        </w:numPr>
      </w:pPr>
      <w:r>
        <w:t xml:space="preserve">Today = 1;</w:t>
      </w:r>
    </w:p>
    <w:p>
      <w:pPr>
        <w:pStyle w:val="Compact"/>
        <w:numPr>
          <w:ilvl w:val="0"/>
          <w:numId w:val="1016"/>
        </w:numPr>
      </w:pPr>
      <w:r>
        <w:t xml:space="preserve">Yesterday = (1/</w:t>
      </w:r>
      <w:r>
        <w:t xml:space="preserve">);</w:t>
      </w:r>
    </w:p>
    <w:p>
      <w:pPr>
        <w:pStyle w:val="Compact"/>
        <w:numPr>
          <w:ilvl w:val="0"/>
          <w:numId w:val="1016"/>
        </w:numPr>
      </w:pPr>
      <w:r>
        <w:t xml:space="preserve">Tomorrow = (</w:t>
      </w:r>
      <w:r>
        <w:t xml:space="preserve">).</w:t>
      </w:r>
    </w:p>
    <w:p>
      <w:pPr>
        <w:pStyle w:val="FirstParagraph"/>
      </w:pPr>
      <w:r>
        <w:t xml:space="preserve">It explicitly labels this an interpretive metaphor rather than a consequence of the recurrence. It also defines ratio domains, signed error, absolute error, and step swing as separate concepts.</w:t>
      </w:r>
    </w:p>
    <w:p>
      <w:r>
        <w:pict>
          <v:rect style="width:0;height:1.5pt" o:hralign="center" o:hrstd="t" o:hr="t"/>
        </w:pict>
      </w:r>
    </w:p>
    <w:bookmarkEnd w:id="51"/>
    <w:bookmarkEnd w:id="52"/>
    <w:bookmarkStart w:id="53" w:name="X9d9477b7c36faca09f362d905464e852e6f1565"/>
    <w:p>
      <w:pPr>
        <w:pStyle w:val="Heading2"/>
      </w:pPr>
      <w:r>
        <w:t xml:space="preserve">18. Section 6: visualization and measurement facts</w:t>
      </w:r>
    </w:p>
    <w:p>
      <w:pPr>
        <w:pStyle w:val="FirstParagraph"/>
      </w:pPr>
      <w:r>
        <w:t xml:space="preserve">TR-111 through TR-130 provide positive counterparts to the Avoids Inventory’s charting and rendering warnings.</w:t>
      </w:r>
    </w:p>
    <w:p>
      <w:pPr>
        <w:pStyle w:val="BodyText"/>
      </w:pPr>
      <w:r>
        <w:t xml:space="preserve">They establish that:</w:t>
      </w:r>
    </w:p>
    <w:p>
      <w:pPr>
        <w:pStyle w:val="Compact"/>
        <w:numPr>
          <w:ilvl w:val="0"/>
          <w:numId w:val="1017"/>
        </w:numPr>
      </w:pPr>
      <w:r>
        <w:t xml:space="preserve">destinations and ratios occur at discrete integer steps;</w:t>
      </w:r>
    </w:p>
    <w:p>
      <w:pPr>
        <w:pStyle w:val="Compact"/>
        <w:numPr>
          <w:ilvl w:val="0"/>
          <w:numId w:val="1017"/>
        </w:numPr>
      </w:pPr>
      <w:r>
        <w:t xml:space="preserve">straight segments may indicate ordering without asserting intermediate recurrence values;</w:t>
      </w:r>
    </w:p>
    <w:p>
      <w:pPr>
        <w:pStyle w:val="Compact"/>
        <w:numPr>
          <w:ilvl w:val="0"/>
          <w:numId w:val="1017"/>
        </w:numPr>
      </w:pPr>
      <w:r>
        <w:t xml:space="preserve">a spline creates intermediate geometry absent from the source data;</w:t>
      </w:r>
    </w:p>
    <w:p>
      <w:pPr>
        <w:pStyle w:val="Compact"/>
        <w:numPr>
          <w:ilvl w:val="0"/>
          <w:numId w:val="1017"/>
        </w:numPr>
      </w:pPr>
      <w:r>
        <w:t xml:space="preserve">destination, forward-ratio, reciprocal-ratio, error, and consecutive-pair plots represent different quantities;</w:t>
      </w:r>
    </w:p>
    <w:p>
      <w:pPr>
        <w:pStyle w:val="Compact"/>
        <w:numPr>
          <w:ilvl w:val="0"/>
          <w:numId w:val="1017"/>
        </w:numPr>
      </w:pPr>
      <w:r>
        <w:t xml:space="preserve">subpixel displacements cannot be reliably seen in a raster plot;</w:t>
      </w:r>
    </w:p>
    <w:p>
      <w:pPr>
        <w:pStyle w:val="Compact"/>
        <w:numPr>
          <w:ilvl w:val="0"/>
          <w:numId w:val="1017"/>
        </w:numPr>
      </w:pPr>
      <w:r>
        <w:t xml:space="preserve">thick lines occupy a visible coordinate band;</w:t>
      </w:r>
    </w:p>
    <w:p>
      <w:pPr>
        <w:pStyle w:val="Compact"/>
        <w:numPr>
          <w:ilvl w:val="0"/>
          <w:numId w:val="1017"/>
        </w:numPr>
      </w:pPr>
      <w:r>
        <w:t xml:space="preserve">rounded labels may conceal whether a ratio is above or below (</w:t>
      </w:r>
      <w:r>
        <w:t xml:space="preserve">);</w:t>
      </w:r>
    </w:p>
    <w:p>
      <w:pPr>
        <w:pStyle w:val="Compact"/>
        <w:numPr>
          <w:ilvl w:val="0"/>
          <w:numId w:val="1017"/>
        </w:numPr>
      </w:pPr>
      <w:r>
        <w:t xml:space="preserve">an enlarged error panel may be needed to reveal late oscillations;</w:t>
      </w:r>
    </w:p>
    <w:p>
      <w:pPr>
        <w:pStyle w:val="Compact"/>
        <w:numPr>
          <w:ilvl w:val="0"/>
          <w:numId w:val="1017"/>
        </w:numPr>
      </w:pPr>
      <w:r>
        <w:t xml:space="preserve">a zero-height bar has no visible area;</w:t>
      </w:r>
    </w:p>
    <w:p>
      <w:pPr>
        <w:pStyle w:val="Compact"/>
        <w:numPr>
          <w:ilvl w:val="0"/>
          <w:numId w:val="1017"/>
        </w:numPr>
      </w:pPr>
      <w:r>
        <w:t xml:space="preserve">an ordinary logarithmic axis excludes zero;</w:t>
      </w:r>
    </w:p>
    <w:p>
      <w:pPr>
        <w:pStyle w:val="Compact"/>
        <w:numPr>
          <w:ilvl w:val="0"/>
          <w:numId w:val="1017"/>
        </w:numPr>
      </w:pPr>
      <w:r>
        <w:t xml:space="preserve">a linear scale extending to 514229 compresses early values;</w:t>
      </w:r>
    </w:p>
    <w:p>
      <w:pPr>
        <w:pStyle w:val="Compact"/>
        <w:numPr>
          <w:ilvl w:val="0"/>
          <w:numId w:val="1017"/>
        </w:numPr>
      </w:pPr>
      <w:r>
        <w:t xml:space="preserve">a consecutive-pair point has coordinates ((D_v,D_{v+1}));</w:t>
      </w:r>
    </w:p>
    <w:p>
      <w:pPr>
        <w:pStyle w:val="Compact"/>
        <w:numPr>
          <w:ilvl w:val="0"/>
          <w:numId w:val="1017"/>
        </w:numPr>
      </w:pPr>
      <w:r>
        <w:t xml:space="preserve">the slope (D_{v+1}/D_v) approaches (</w:t>
      </w:r>
      <w:r>
        <w:t xml:space="preserve">);</w:t>
      </w:r>
    </w:p>
    <w:p>
      <w:pPr>
        <w:pStyle w:val="Compact"/>
        <w:numPr>
          <w:ilvl w:val="0"/>
          <w:numId w:val="1017"/>
        </w:numPr>
      </w:pPr>
      <w:r>
        <w:t xml:space="preserve">(y=</w:t>
      </w:r>
      <w:r>
        <w:t xml:space="preserve">x) is the corresponding limiting-slope reference;</w:t>
      </w:r>
    </w:p>
    <w:p>
      <w:pPr>
        <w:pStyle w:val="Compact"/>
        <w:numPr>
          <w:ilvl w:val="0"/>
          <w:numId w:val="1017"/>
        </w:numPr>
      </w:pPr>
      <w:r>
        <w:t xml:space="preserve">equal numeric units require equal pixel heights in a linear bar chart;</w:t>
      </w:r>
    </w:p>
    <w:p>
      <w:pPr>
        <w:pStyle w:val="Compact"/>
        <w:numPr>
          <w:ilvl w:val="0"/>
          <w:numId w:val="1017"/>
        </w:numPr>
      </w:pPr>
      <w:r>
        <w:t xml:space="preserve">multi-panel displays must agree on labels, counts, scales, and step ranges;</w:t>
      </w:r>
    </w:p>
    <w:p>
      <w:pPr>
        <w:pStyle w:val="Compact"/>
        <w:numPr>
          <w:ilvl w:val="0"/>
          <w:numId w:val="1017"/>
        </w:numPr>
      </w:pPr>
      <w:r>
        <w:t xml:space="preserve">an overflow button is interface chrome;</w:t>
      </w:r>
    </w:p>
    <w:p>
      <w:pPr>
        <w:pStyle w:val="Compact"/>
        <w:numPr>
          <w:ilvl w:val="0"/>
          <w:numId w:val="1017"/>
        </w:numPr>
      </w:pPr>
      <w:r>
        <w:t xml:space="preserve">screenshots can omit content outside the crop;</w:t>
      </w:r>
    </w:p>
    <w:p>
      <w:pPr>
        <w:pStyle w:val="Compact"/>
        <w:numPr>
          <w:ilvl w:val="0"/>
          <w:numId w:val="1017"/>
        </w:numPr>
      </w:pPr>
      <w:r>
        <w:t xml:space="preserve">calculated source values are superior to measurements estimated from screenshots;</w:t>
      </w:r>
    </w:p>
    <w:p>
      <w:pPr>
        <w:pStyle w:val="Compact"/>
        <w:numPr>
          <w:ilvl w:val="0"/>
          <w:numId w:val="1017"/>
        </w:numPr>
      </w:pPr>
      <w:r>
        <w:t xml:space="preserve">rounded values should use approximation notation.</w:t>
      </w:r>
    </w:p>
    <w:p>
      <w:r>
        <w:pict>
          <v:rect style="width:0;height:1.5pt" o:hralign="center" o:hrstd="t" o:hr="t"/>
        </w:pict>
      </w:r>
    </w:p>
    <w:bookmarkEnd w:id="53"/>
    <w:bookmarkStart w:id="54" w:name="section-7-geometric-construction-facts"/>
    <w:p>
      <w:pPr>
        <w:pStyle w:val="Heading2"/>
      </w:pPr>
      <w:r>
        <w:t xml:space="preserve">19. Section 7: geometric construction facts</w:t>
      </w:r>
    </w:p>
    <w:p>
      <w:pPr>
        <w:pStyle w:val="FirstParagraph"/>
      </w:pPr>
      <w:r>
        <w:t xml:space="preserve">TR-131 through TR-140 define the geometry of golden rectangles, Fibonacci squares, and spiral approximations.</w:t>
      </w:r>
    </w:p>
    <w:p>
      <w:pPr>
        <w:pStyle w:val="BodyText"/>
      </w:pPr>
      <w:r>
        <w:t xml:space="preserve">They establish that:</w:t>
      </w:r>
    </w:p>
    <w:p>
      <w:pPr>
        <w:pStyle w:val="Compact"/>
        <w:numPr>
          <w:ilvl w:val="0"/>
          <w:numId w:val="1018"/>
        </w:numPr>
      </w:pPr>
      <w:r>
        <w:t xml:space="preserve">a golden rectangle has aspect ratio (</w:t>
      </w:r>
      <w:r>
        <w:t xml:space="preserve">) or (1/</w:t>
      </w:r>
      <w:r>
        <w:t xml:space="preserve">), depending on orientation;</w:t>
      </w:r>
    </w:p>
    <w:p>
      <w:pPr>
        <w:pStyle w:val="Compact"/>
        <w:numPr>
          <w:ilvl w:val="0"/>
          <w:numId w:val="1018"/>
        </w:numPr>
      </w:pPr>
      <w:r>
        <w:t xml:space="preserve">a Fibonacci square has equal width and height;</w:t>
      </w:r>
    </w:p>
    <w:p>
      <w:pPr>
        <w:pStyle w:val="Compact"/>
        <w:numPr>
          <w:ilvl w:val="0"/>
          <w:numId w:val="1018"/>
        </w:numPr>
      </w:pPr>
      <w:r>
        <w:t xml:space="preserve">its side length is a Fibonacci destination used in the construction;</w:t>
      </w:r>
    </w:p>
    <w:p>
      <w:pPr>
        <w:pStyle w:val="Compact"/>
        <w:numPr>
          <w:ilvl w:val="0"/>
          <w:numId w:val="1018"/>
        </w:numPr>
      </w:pPr>
      <w:r>
        <w:t xml:space="preserve">the standard side-length series begins (1,1,2,3,5,8,13,</w:t>
      </w:r>
      <w:r>
        <w:t xml:space="preserve">);</w:t>
      </w:r>
    </w:p>
    <w:p>
      <w:pPr>
        <w:pStyle w:val="Compact"/>
        <w:numPr>
          <w:ilvl w:val="0"/>
          <w:numId w:val="1018"/>
        </w:numPr>
      </w:pPr>
      <w:r>
        <w:t xml:space="preserve">each spiral segment is a quarter-circle;</w:t>
      </w:r>
    </w:p>
    <w:p>
      <w:pPr>
        <w:pStyle w:val="Compact"/>
        <w:numPr>
          <w:ilvl w:val="0"/>
          <w:numId w:val="1018"/>
        </w:numPr>
      </w:pPr>
      <w:r>
        <w:t xml:space="preserve">each arc radius equals the side length of its square;</w:t>
      </w:r>
    </w:p>
    <w:p>
      <w:pPr>
        <w:pStyle w:val="Compact"/>
        <w:numPr>
          <w:ilvl w:val="0"/>
          <w:numId w:val="1018"/>
        </w:numPr>
      </w:pPr>
      <w:r>
        <w:t xml:space="preserve">each arc center lies at a corner of that square;</w:t>
      </w:r>
    </w:p>
    <w:p>
      <w:pPr>
        <w:pStyle w:val="Compact"/>
        <w:numPr>
          <w:ilvl w:val="0"/>
          <w:numId w:val="1018"/>
        </w:numPr>
      </w:pPr>
      <w:r>
        <w:t xml:space="preserve">correctly arranged adjacent arcs meet tangentially;</w:t>
      </w:r>
    </w:p>
    <w:p>
      <w:pPr>
        <w:pStyle w:val="Compact"/>
        <w:numPr>
          <w:ilvl w:val="0"/>
          <w:numId w:val="1018"/>
        </w:numPr>
      </w:pPr>
      <w:r>
        <w:t xml:space="preserve">the piecewise construction is commonly called a Fibonacci spiral approximation;</w:t>
      </w:r>
    </w:p>
    <w:p>
      <w:pPr>
        <w:pStyle w:val="Compact"/>
        <w:numPr>
          <w:ilvl w:val="0"/>
          <w:numId w:val="1018"/>
        </w:numPr>
      </w:pPr>
      <w:r>
        <w:t xml:space="preserve">the exact golden spiral is logarithmic and is not identical to the quarter-circle construction;</w:t>
      </w:r>
    </w:p>
    <w:p>
      <w:pPr>
        <w:pStyle w:val="Compact"/>
        <w:numPr>
          <w:ilvl w:val="0"/>
          <w:numId w:val="1018"/>
        </w:numPr>
      </w:pPr>
      <w:r>
        <w:t xml:space="preserve">uniform resizing preserves aspect ratio and square shape, while nonuniform resizing does not.</w:t>
      </w:r>
    </w:p>
    <w:p>
      <w:r>
        <w:pict>
          <v:rect style="width:0;height:1.5pt" o:hralign="center" o:hrstd="t" o:hr="t"/>
        </w:pict>
      </w:r>
    </w:p>
    <w:bookmarkEnd w:id="54"/>
    <w:bookmarkStart w:id="62" w:name="X3df84a62ab3c84e23421cdc78bcf1c70593c6b4"/>
    <w:p>
      <w:pPr>
        <w:pStyle w:val="Heading2"/>
      </w:pPr>
      <w:r>
        <w:t xml:space="preserve">20. Section 8: verified facts about seven uploaded images</w:t>
      </w:r>
    </w:p>
    <w:p>
      <w:pPr>
        <w:pStyle w:val="FirstParagraph"/>
      </w:pPr>
      <w:r>
        <w:t xml:space="preserve">TR-141 through TR-163 record observations about seven images that were available when the inventories were prepared.</w:t>
      </w:r>
    </w:p>
    <w:bookmarkStart w:id="55" w:name="image-1-dark-screenshot"/>
    <w:p>
      <w:pPr>
        <w:pStyle w:val="Heading3"/>
      </w:pPr>
      <w:r>
        <w:t xml:space="preserve">Image 1: dark screenshot</w:t>
      </w:r>
    </w:p>
    <w:p>
      <w:pPr>
        <w:pStyle w:val="FirstParagraph"/>
      </w:pPr>
      <w:r>
        <w:t xml:space="preserve">The document says it contains:</w:t>
      </w:r>
    </w:p>
    <w:p>
      <w:pPr>
        <w:pStyle w:val="Compact"/>
        <w:numPr>
          <w:ilvl w:val="0"/>
          <w:numId w:val="1019"/>
        </w:numPr>
      </w:pPr>
      <w:r>
        <w:t xml:space="preserve">the correct recurrence (R_{n+1}=1+1/R_n);</w:t>
      </w:r>
    </w:p>
    <w:p>
      <w:pPr>
        <w:pStyle w:val="Compact"/>
        <w:numPr>
          <w:ilvl w:val="0"/>
          <w:numId w:val="1019"/>
        </w:numPr>
      </w:pPr>
      <w:r>
        <w:t xml:space="preserve">a correct signed-error identity;</w:t>
      </w:r>
    </w:p>
    <w:p>
      <w:pPr>
        <w:pStyle w:val="Compact"/>
        <w:numPr>
          <w:ilvl w:val="0"/>
          <w:numId w:val="1019"/>
        </w:numPr>
      </w:pPr>
      <w:r>
        <w:t xml:space="preserve">a correct statement that the contraction factor approaches (1/</w:t>
      </w:r>
      <w:r>
        <w:t xml:space="preserve">^2);</w:t>
      </w:r>
    </w:p>
    <w:p>
      <w:pPr>
        <w:pStyle w:val="Compact"/>
        <w:numPr>
          <w:ilvl w:val="0"/>
          <w:numId w:val="1019"/>
        </w:numPr>
      </w:pPr>
      <w:r>
        <w:t xml:space="preserve">a graph beginning with forward ratios 1, 2, 1.5, and 1.666… under its own displayed indexing.</w:t>
      </w:r>
    </w:p>
    <w:bookmarkEnd w:id="55"/>
    <w:bookmarkStart w:id="56" w:name="image-2-white-ratio-infographic"/>
    <w:p>
      <w:pPr>
        <w:pStyle w:val="Heading3"/>
      </w:pPr>
      <w:r>
        <w:t xml:space="preserve">Image 2: white ratio infographic</w:t>
      </w:r>
    </w:p>
    <w:p>
      <w:pPr>
        <w:pStyle w:val="FirstParagraph"/>
      </w:pPr>
      <w:r>
        <w:t xml:space="preserve">It is recorded as:</w:t>
      </w:r>
    </w:p>
    <w:p>
      <w:pPr>
        <w:pStyle w:val="Compact"/>
        <w:numPr>
          <w:ilvl w:val="0"/>
          <w:numId w:val="1020"/>
        </w:numPr>
      </w:pPr>
      <w:r>
        <w:t xml:space="preserve">declaring (F_0=1) and (F_1=1);</w:t>
      </w:r>
    </w:p>
    <w:p>
      <w:pPr>
        <w:pStyle w:val="Compact"/>
        <w:numPr>
          <w:ilvl w:val="0"/>
          <w:numId w:val="1020"/>
        </w:numPr>
      </w:pPr>
      <w:r>
        <w:t xml:space="preserve">displaying correct visible destination values;</w:t>
      </w:r>
    </w:p>
    <w:p>
      <w:pPr>
        <w:pStyle w:val="Compact"/>
        <w:numPr>
          <w:ilvl w:val="0"/>
          <w:numId w:val="1020"/>
        </w:numPr>
      </w:pPr>
      <w:r>
        <w:t xml:space="preserve">displaying correct visible forward ratios to the shown precision;</w:t>
      </w:r>
    </w:p>
    <w:p>
      <w:pPr>
        <w:pStyle w:val="Compact"/>
        <w:numPr>
          <w:ilvl w:val="0"/>
          <w:numId w:val="1020"/>
        </w:numPr>
      </w:pPr>
      <w:r>
        <w:t xml:space="preserve">covering ratio steps that map to Fv 1 through Fv 16.</w:t>
      </w:r>
    </w:p>
    <w:bookmarkEnd w:id="56"/>
    <w:bookmarkStart w:id="57" w:name="image-3-decorative-multi-panel-image"/>
    <w:p>
      <w:pPr>
        <w:pStyle w:val="Heading3"/>
      </w:pPr>
      <w:r>
        <w:t xml:space="preserve">Image 3: decorative multi-panel image</w:t>
      </w:r>
    </w:p>
    <w:p>
      <w:pPr>
        <w:pStyle w:val="FirstParagraph"/>
      </w:pPr>
      <w:r>
        <w:t xml:space="preserve">It is recorded as:</w:t>
      </w:r>
    </w:p>
    <w:p>
      <w:pPr>
        <w:pStyle w:val="Compact"/>
        <w:numPr>
          <w:ilvl w:val="0"/>
          <w:numId w:val="1021"/>
        </w:numPr>
      </w:pPr>
      <w:r>
        <w:t xml:space="preserve">correctly showing (1+1=2) and (1+2=3);</w:t>
      </w:r>
    </w:p>
    <w:p>
      <w:pPr>
        <w:pStyle w:val="Compact"/>
        <w:numPr>
          <w:ilvl w:val="0"/>
          <w:numId w:val="1021"/>
        </w:numPr>
      </w:pPr>
      <w:r>
        <w:t xml:space="preserve">later displaying yellow and red dot groups that do not match 5 and 13;</w:t>
      </w:r>
    </w:p>
    <w:p>
      <w:pPr>
        <w:pStyle w:val="Compact"/>
        <w:numPr>
          <w:ilvl w:val="0"/>
          <w:numId w:val="1021"/>
        </w:numPr>
      </w:pPr>
      <w:r>
        <w:t xml:space="preserve">beginning its bars at approximately 1, 1, 2, 3, and 5 before compressing the later scale;</w:t>
      </w:r>
    </w:p>
    <w:p>
      <w:pPr>
        <w:pStyle w:val="Compact"/>
        <w:numPr>
          <w:ilvl w:val="0"/>
          <w:numId w:val="1021"/>
        </w:numPr>
      </w:pPr>
      <w:r>
        <w:t xml:space="preserve">using a rectangle that is visibly not golden;</w:t>
      </w:r>
    </w:p>
    <w:p>
      <w:pPr>
        <w:pStyle w:val="Compact"/>
        <w:numPr>
          <w:ilvl w:val="0"/>
          <w:numId w:val="1021"/>
        </w:numPr>
      </w:pPr>
      <w:r>
        <w:t xml:space="preserve">providing an oscillation panel without quantitative axes.</w:t>
      </w:r>
    </w:p>
    <w:bookmarkEnd w:id="57"/>
    <w:bookmarkStart w:id="58" w:name="image-4-blue-forward-ratio-chart"/>
    <w:p>
      <w:pPr>
        <w:pStyle w:val="Heading3"/>
      </w:pPr>
      <w:r>
        <w:t xml:space="preserve">Image 4: blue forward-ratio chart</w:t>
      </w:r>
    </w:p>
    <w:p>
      <w:pPr>
        <w:pStyle w:val="FirstParagraph"/>
      </w:pPr>
      <w:r>
        <w:t xml:space="preserve">It is recorded as using correct ratio data under conventional (F_0=0, F_1=1) indexing. Its first point is (F_2/F_1=1), and its orange dashed line lies at approximately (</w:t>
      </w:r>
      <w:r>
        <w:t xml:space="preserve">).</w:t>
      </w:r>
    </w:p>
    <w:bookmarkEnd w:id="58"/>
    <w:bookmarkStart w:id="59" w:name="image-5-consecutive-number-scatter-plot"/>
    <w:p>
      <w:pPr>
        <w:pStyle w:val="Heading3"/>
      </w:pPr>
      <w:r>
        <w:t xml:space="preserve">Image 5: consecutive-number scatter plot</w:t>
      </w:r>
    </w:p>
    <w:p>
      <w:pPr>
        <w:pStyle w:val="FirstParagraph"/>
      </w:pPr>
      <w:r>
        <w:t xml:space="preserve">Its points are recorded as being consistent with ((F_n,F_{n+1})), with the last visible pair near ((17711,28657)), mapping to Fv 21 and Fv 22.</w:t>
      </w:r>
    </w:p>
    <w:bookmarkEnd w:id="59"/>
    <w:bookmarkStart w:id="60" w:name="image-6-destination-bar-chart"/>
    <w:p>
      <w:pPr>
        <w:pStyle w:val="Heading3"/>
      </w:pPr>
      <w:r>
        <w:t xml:space="preserve">Image 6: destination bar chart</w:t>
      </w:r>
    </w:p>
    <w:p>
      <w:pPr>
        <w:pStyle w:val="FirstParagraph"/>
      </w:pPr>
      <w:r>
        <w:t xml:space="preserve">Its values from conventional (F_0=0) through (F_{23}=28657) are recorded as correct, corresponding to Fv −1 through Fv 22.</w:t>
      </w:r>
    </w:p>
    <w:bookmarkEnd w:id="60"/>
    <w:bookmarkStart w:id="61" w:name="image-7-destination-line-chart"/>
    <w:p>
      <w:pPr>
        <w:pStyle w:val="Heading3"/>
      </w:pPr>
      <w:r>
        <w:t xml:space="preserve">Image 7: destination line chart</w:t>
      </w:r>
    </w:p>
    <w:p>
      <w:pPr>
        <w:pStyle w:val="FirstParagraph"/>
      </w:pPr>
      <w:r>
        <w:t xml:space="preserve">It is recorded as plotting conventional destinations from 0 through 28657. Its x-axis omits label 22 while showing 23. The chart contains 24 destinations and therefore 23 adjacent transitions.</w:t>
      </w:r>
    </w:p>
    <w:p>
      <w:pPr>
        <w:pStyle w:val="BodyText"/>
      </w:pPr>
      <w:r>
        <w:t xml:space="preserve">A significant limitation is that the seven images are</w:t>
      </w:r>
      <w:r>
        <w:t xml:space="preserve"> </w:t>
      </w:r>
      <w:r>
        <w:rPr>
          <w:b/>
          <w:bCs/>
        </w:rPr>
        <w:t xml:space="preserve">not embedded in the three supplied documents</w:t>
      </w:r>
      <w:r>
        <w:t xml:space="preserve">. The files contain only textual descriptions and one appendix table. Consequently, the image-specific statements can be reported from the inventories but cannot be independently re-audited from these files alone.</w:t>
      </w:r>
    </w:p>
    <w:p>
      <w:r>
        <w:pict>
          <v:rect style="width:0;height:1.5pt" o:hralign="center" o:hrstd="t" o:hr="t"/>
        </w:pict>
      </w:r>
    </w:p>
    <w:bookmarkEnd w:id="61"/>
    <w:bookmarkEnd w:id="62"/>
    <w:bookmarkStart w:id="63" w:name="appendix-a-of-the-truth-inventory"/>
    <w:p>
      <w:pPr>
        <w:pStyle w:val="Heading2"/>
      </w:pPr>
      <w:r>
        <w:t xml:space="preserve">21. Appendix A of the Truth Inventory</w:t>
      </w:r>
    </w:p>
    <w:p>
      <w:pPr>
        <w:pStyle w:val="FirstParagraph"/>
      </w:pPr>
      <w:r>
        <w:t xml:space="preserve">The appendix is a three-column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Fv step</w:t>
            </w:r>
          </w:p>
        </w:tc>
        <w:tc>
          <w:tcPr/>
          <w:p>
            <w:pPr>
              <w:pStyle w:val="Compact"/>
              <w:jc w:val="right"/>
            </w:pPr>
            <w:r>
              <w:t xml:space="preserve">Destination</w:t>
            </w:r>
          </w:p>
        </w:tc>
        <w:tc>
          <w:tcPr/>
          <w:p>
            <w:pPr>
              <w:pStyle w:val="Compact"/>
            </w:pPr>
            <w:r>
              <w:t xml:space="preserve">Conventional index</w:t>
            </w:r>
          </w:p>
        </w:tc>
      </w:tr>
      <w:tr>
        <w:tc>
          <w:tcPr/>
          <w:p>
            <w:pPr>
              <w:pStyle w:val="Compact"/>
            </w:pPr>
            <w:r>
              <w:t xml:space="preserve">−1</w:t>
            </w:r>
          </w:p>
        </w:tc>
        <w:tc>
          <w:tcPr/>
          <w:p>
            <w:pPr>
              <w:pStyle w:val="Compact"/>
              <w:jc w:val="right"/>
            </w:pPr>
            <w:r>
              <w:t xml:space="preserve">0</w:t>
            </w:r>
          </w:p>
        </w:tc>
        <w:tc>
          <w:tcPr/>
          <w:p>
            <w:pPr>
              <w:pStyle w:val="Compact"/>
            </w:pPr>
            <w:r>
              <w:t xml:space="preserve">(F_0)</w:t>
            </w:r>
          </w:p>
        </w:tc>
      </w:tr>
      <w:tr>
        <w:tc>
          <w:tcPr/>
          <w:p>
            <w:pPr>
              <w:pStyle w:val="Compact"/>
            </w:pPr>
            <w:r>
              <w:t xml:space="preserve">0</w:t>
            </w:r>
          </w:p>
        </w:tc>
        <w:tc>
          <w:tcPr/>
          <w:p>
            <w:pPr>
              <w:pStyle w:val="Compact"/>
              <w:jc w:val="right"/>
            </w:pPr>
            <w:r>
              <w:t xml:space="preserve">1</w:t>
            </w:r>
          </w:p>
        </w:tc>
        <w:tc>
          <w:tcPr/>
          <w:p>
            <w:pPr>
              <w:pStyle w:val="Compact"/>
            </w:pPr>
            <w:r>
              <w:t xml:space="preserve">(F_1)</w:t>
            </w:r>
          </w:p>
        </w:tc>
      </w:tr>
      <w:tr>
        <w:tc>
          <w:tcPr/>
          <w:p>
            <w:pPr>
              <w:pStyle w:val="Compact"/>
            </w:pPr>
            <w:r>
              <w:t xml:space="preserve">1</w:t>
            </w:r>
          </w:p>
        </w:tc>
        <w:tc>
          <w:tcPr/>
          <w:p>
            <w:pPr>
              <w:pStyle w:val="Compact"/>
              <w:jc w:val="right"/>
            </w:pPr>
            <w:r>
              <w:t xml:space="preserve">1</w:t>
            </w:r>
          </w:p>
        </w:tc>
        <w:tc>
          <w:tcPr/>
          <w:p>
            <w:pPr>
              <w:pStyle w:val="Compact"/>
            </w:pPr>
            <w:r>
              <w:t xml:space="preserve">(F_2)</w:t>
            </w:r>
          </w:p>
        </w:tc>
      </w:tr>
      <w:tr>
        <w:tc>
          <w:tcPr/>
          <w:p>
            <w:pPr>
              <w:pStyle w:val="Compact"/>
            </w:pPr>
            <w:r>
              <w:t xml:space="preserve">…</w:t>
            </w:r>
          </w:p>
        </w:tc>
        <w:tc>
          <w:tcPr/>
          <w:p>
            <w:pPr>
              <w:pStyle w:val="Compact"/>
              <w:jc w:val="right"/>
            </w:pPr>
            <w:r>
              <w:t xml:space="preserve">…</w:t>
            </w:r>
          </w:p>
        </w:tc>
        <w:tc>
          <w:tcPr/>
          <w:p>
            <w:pPr>
              <w:pStyle w:val="Compact"/>
            </w:pPr>
            <w:r>
              <w:t xml:space="preserve">…</w:t>
            </w:r>
          </w:p>
        </w:tc>
      </w:tr>
      <w:tr>
        <w:tc>
          <w:tcPr/>
          <w:p>
            <w:pPr>
              <w:pStyle w:val="Compact"/>
            </w:pPr>
            <w:r>
              <w:t xml:space="preserve">28</w:t>
            </w:r>
          </w:p>
        </w:tc>
        <w:tc>
          <w:tcPr/>
          <w:p>
            <w:pPr>
              <w:pStyle w:val="Compact"/>
              <w:jc w:val="right"/>
            </w:pPr>
            <w:r>
              <w:t xml:space="preserve">514229</w:t>
            </w:r>
          </w:p>
        </w:tc>
        <w:tc>
          <w:tcPr/>
          <w:p>
            <w:pPr>
              <w:pStyle w:val="Compact"/>
            </w:pPr>
            <w:r>
              <w:t xml:space="preserve">(F_{29})</w:t>
            </w:r>
          </w:p>
        </w:tc>
      </w:tr>
    </w:tbl>
    <w:p>
      <w:pPr>
        <w:pStyle w:val="BodyText"/>
      </w:pPr>
      <w:r>
        <w:t xml:space="preserve">It restates the full sequence in a compact tabular form, complementing the sentence-by-sentence destination entries in Section 2.</w:t>
      </w:r>
    </w:p>
    <w:p>
      <w:r>
        <w:pict>
          <v:rect style="width:0;height:1.5pt" o:hralign="center" o:hrstd="t" o:hr="t"/>
        </w:pict>
      </w:r>
    </w:p>
    <w:bookmarkEnd w:id="63"/>
    <w:bookmarkEnd w:id="64"/>
    <w:bookmarkStart w:id="68" w:name="X0cfd38b91b2816758d02b301dd1ad36def096bd"/>
    <w:p>
      <w:pPr>
        <w:pStyle w:val="Heading1"/>
      </w:pPr>
      <w:r>
        <w:t xml:space="preserve">Part III: Detailed Description of the Fibonacci Inventory Documents</w:t>
      </w:r>
    </w:p>
    <w:bookmarkStart w:id="65" w:name="purpose-of-the-third-document"/>
    <w:p>
      <w:pPr>
        <w:pStyle w:val="Heading2"/>
      </w:pPr>
      <w:r>
        <w:t xml:space="preserve">22. Purpose of the third document</w:t>
      </w:r>
    </w:p>
    <w:p>
      <w:pPr>
        <w:pStyle w:val="FirstParagraph"/>
      </w:pPr>
      <w:r>
        <w:t xml:space="preserve">The third document is not a third mathematical inventory. It is a detailed textual account of the first two inventories’ contents, organization, identifiers, distinctions, and internal relationships.</w:t>
      </w:r>
    </w:p>
    <w:p>
      <w:pPr>
        <w:pStyle w:val="BodyText"/>
      </w:pPr>
      <w:r>
        <w:t xml:space="preserve">Its 20 sections perform the following functions:</w:t>
      </w:r>
    </w:p>
    <w:p>
      <w:pPr>
        <w:pStyle w:val="Compact"/>
        <w:numPr>
          <w:ilvl w:val="0"/>
          <w:numId w:val="1022"/>
        </w:numPr>
      </w:pPr>
      <w:r>
        <w:t xml:space="preserve">Define the shared Fv convention and identifier namespaces.</w:t>
      </w:r>
    </w:p>
    <w:p>
      <w:pPr>
        <w:pStyle w:val="Compact"/>
        <w:numPr>
          <w:ilvl w:val="0"/>
          <w:numId w:val="1022"/>
        </w:numPr>
      </w:pPr>
      <w:r>
        <w:t xml:space="preserve">Describe the title and opening material of Document 1.</w:t>
      </w:r>
    </w:p>
    <w:p>
      <w:pPr>
        <w:pStyle w:val="Compact"/>
        <w:numPr>
          <w:ilvl w:val="0"/>
          <w:numId w:val="1022"/>
        </w:numPr>
      </w:pPr>
      <w:r>
        <w:t xml:space="preserve">Describe Document 1’s indexing section.</w:t>
      </w:r>
    </w:p>
    <w:p>
      <w:pPr>
        <w:pStyle w:val="Compact"/>
        <w:numPr>
          <w:ilvl w:val="0"/>
          <w:numId w:val="1022"/>
        </w:numPr>
      </w:pPr>
      <w:r>
        <w:t xml:space="preserve">Describe its sequence and recurrence section.</w:t>
      </w:r>
    </w:p>
    <w:p>
      <w:pPr>
        <w:pStyle w:val="Compact"/>
        <w:numPr>
          <w:ilvl w:val="0"/>
          <w:numId w:val="1022"/>
        </w:numPr>
      </w:pPr>
      <w:r>
        <w:t xml:space="preserve">Describe its ratios, limits, and metaphor section.</w:t>
      </w:r>
    </w:p>
    <w:p>
      <w:pPr>
        <w:pStyle w:val="Compact"/>
        <w:numPr>
          <w:ilvl w:val="0"/>
          <w:numId w:val="1022"/>
        </w:numPr>
      </w:pPr>
      <w:r>
        <w:t xml:space="preserve">Describe its chart construction section.</w:t>
      </w:r>
    </w:p>
    <w:p>
      <w:pPr>
        <w:pStyle w:val="Compact"/>
        <w:numPr>
          <w:ilvl w:val="0"/>
          <w:numId w:val="1022"/>
        </w:numPr>
      </w:pPr>
      <w:r>
        <w:t xml:space="preserve">Describe its pixel and rendering section.</w:t>
      </w:r>
    </w:p>
    <w:p>
      <w:pPr>
        <w:pStyle w:val="Compact"/>
        <w:numPr>
          <w:ilvl w:val="0"/>
          <w:numId w:val="1022"/>
        </w:numPr>
      </w:pPr>
      <w:r>
        <w:t xml:space="preserve">Describe its rectangles and spirals section.</w:t>
      </w:r>
    </w:p>
    <w:p>
      <w:pPr>
        <w:pStyle w:val="Compact"/>
        <w:numPr>
          <w:ilvl w:val="0"/>
          <w:numId w:val="1022"/>
        </w:numPr>
      </w:pPr>
      <w:r>
        <w:t xml:space="preserve">Describe its explanation section and appendix.</w:t>
      </w:r>
    </w:p>
    <w:p>
      <w:pPr>
        <w:pStyle w:val="Compact"/>
        <w:numPr>
          <w:ilvl w:val="0"/>
          <w:numId w:val="1022"/>
        </w:numPr>
      </w:pPr>
      <w:r>
        <w:t xml:space="preserve">Describe the title and entry structure of Document 2.</w:t>
      </w:r>
    </w:p>
    <w:p>
      <w:pPr>
        <w:pStyle w:val="Compact"/>
        <w:numPr>
          <w:ilvl w:val="0"/>
          <w:numId w:val="1022"/>
        </w:numPr>
      </w:pPr>
      <w:r>
        <w:t xml:space="preserve">Describe its naming and indexing truths.</w:t>
      </w:r>
    </w:p>
    <w:p>
      <w:pPr>
        <w:pStyle w:val="Compact"/>
        <w:numPr>
          <w:ilvl w:val="0"/>
          <w:numId w:val="1022"/>
        </w:numPr>
      </w:pPr>
      <w:r>
        <w:t xml:space="preserve">Describe its destination truths.</w:t>
      </w:r>
    </w:p>
    <w:p>
      <w:pPr>
        <w:pStyle w:val="Compact"/>
        <w:numPr>
          <w:ilvl w:val="0"/>
          <w:numId w:val="1022"/>
        </w:numPr>
      </w:pPr>
      <w:r>
        <w:t xml:space="preserve">Describe its forward ratios.</w:t>
      </w:r>
    </w:p>
    <w:p>
      <w:pPr>
        <w:pStyle w:val="Compact"/>
        <w:numPr>
          <w:ilvl w:val="0"/>
          <w:numId w:val="1022"/>
        </w:numPr>
      </w:pPr>
      <w:r>
        <w:t xml:space="preserve">Describe its reciprocal-ratio sample.</w:t>
      </w:r>
    </w:p>
    <w:p>
      <w:pPr>
        <w:pStyle w:val="Compact"/>
        <w:numPr>
          <w:ilvl w:val="0"/>
          <w:numId w:val="1022"/>
        </w:numPr>
      </w:pPr>
      <w:r>
        <w:t xml:space="preserve">Describe its limits, errors, and metaphor facts.</w:t>
      </w:r>
    </w:p>
    <w:p>
      <w:pPr>
        <w:pStyle w:val="Compact"/>
        <w:numPr>
          <w:ilvl w:val="0"/>
          <w:numId w:val="1022"/>
        </w:numPr>
      </w:pPr>
      <w:r>
        <w:t xml:space="preserve">Describe its visualization and geometric facts.</w:t>
      </w:r>
    </w:p>
    <w:p>
      <w:pPr>
        <w:pStyle w:val="Compact"/>
        <w:numPr>
          <w:ilvl w:val="0"/>
          <w:numId w:val="1022"/>
        </w:numPr>
      </w:pPr>
      <w:r>
        <w:t xml:space="preserve">Describe its uploaded-image facts.</w:t>
      </w:r>
    </w:p>
    <w:p>
      <w:pPr>
        <w:pStyle w:val="Compact"/>
        <w:numPr>
          <w:ilvl w:val="0"/>
          <w:numId w:val="1022"/>
        </w:numPr>
      </w:pPr>
      <w:r>
        <w:t xml:space="preserve">Describe its appendix.</w:t>
      </w:r>
    </w:p>
    <w:p>
      <w:pPr>
        <w:pStyle w:val="Compact"/>
        <w:numPr>
          <w:ilvl w:val="0"/>
          <w:numId w:val="1022"/>
        </w:numPr>
      </w:pPr>
      <w:r>
        <w:t xml:space="preserve">Explain the relationship between the two inventories.</w:t>
      </w:r>
    </w:p>
    <w:p>
      <w:pPr>
        <w:pStyle w:val="Compact"/>
        <w:numPr>
          <w:ilvl w:val="0"/>
          <w:numId w:val="1022"/>
        </w:numPr>
      </w:pPr>
      <w:r>
        <w:t xml:space="preserve">Record typography, pagination, and visual structure.</w:t>
      </w:r>
    </w:p>
    <w:p>
      <w:pPr>
        <w:pStyle w:val="FirstParagraph"/>
      </w:pPr>
      <w:r>
        <w:t xml:space="preserve">The third document therefore functions as a</w:t>
      </w:r>
      <w:r>
        <w:t xml:space="preserve"> </w:t>
      </w:r>
      <w:r>
        <w:rPr>
          <w:b/>
          <w:bCs/>
        </w:rPr>
        <w:t xml:space="preserve">crosswalk, schema description, and document guide</w:t>
      </w:r>
      <w:r>
        <w:t xml:space="preserve">. Most of its mathematical information is deliberately derivative of the first two files rather than new.</w:t>
      </w:r>
    </w:p>
    <w:p>
      <w:r>
        <w:pict>
          <v:rect style="width:0;height:1.5pt" o:hralign="center" o:hrstd="t" o:hr="t"/>
        </w:pict>
      </w:r>
    </w:p>
    <w:bookmarkEnd w:id="65"/>
    <w:bookmarkStart w:id="66" w:name="Xb624b345b7f959889e43c41cadb17a66c822784"/>
    <w:p>
      <w:pPr>
        <w:pStyle w:val="Heading2"/>
      </w:pPr>
      <w:r>
        <w:t xml:space="preserve">23. Important distinctions emphasized by the third document</w:t>
      </w:r>
    </w:p>
    <w:p>
      <w:pPr>
        <w:pStyle w:val="FirstParagraph"/>
      </w:pPr>
      <w:r>
        <w:t xml:space="preserve">The descriptive document repeatedly highlights the following conceptual separations:</w:t>
      </w:r>
    </w:p>
    <w:p>
      <w:pPr>
        <w:pStyle w:val="Compact"/>
        <w:numPr>
          <w:ilvl w:val="0"/>
          <w:numId w:val="1023"/>
        </w:numPr>
      </w:pPr>
      <w:r>
        <w:t xml:space="preserve">step labels versus destination values;</w:t>
      </w:r>
    </w:p>
    <w:p>
      <w:pPr>
        <w:pStyle w:val="Compact"/>
        <w:numPr>
          <w:ilvl w:val="0"/>
          <w:numId w:val="1023"/>
        </w:numPr>
      </w:pPr>
      <w:r>
        <w:t xml:space="preserve">indexing mistakes versus arithmetic mistakes;</w:t>
      </w:r>
    </w:p>
    <w:p>
      <w:pPr>
        <w:pStyle w:val="Compact"/>
        <w:numPr>
          <w:ilvl w:val="0"/>
          <w:numId w:val="1023"/>
        </w:numPr>
      </w:pPr>
      <w:r>
        <w:t xml:space="preserve">forward ratios versus reciprocal ratios;</w:t>
      </w:r>
    </w:p>
    <w:p>
      <w:pPr>
        <w:pStyle w:val="Compact"/>
        <w:numPr>
          <w:ilvl w:val="0"/>
          <w:numId w:val="1023"/>
        </w:numPr>
      </w:pPr>
      <w:r>
        <w:t xml:space="preserve">mathematical limits versus metaphorical names;</w:t>
      </w:r>
    </w:p>
    <w:p>
      <w:pPr>
        <w:pStyle w:val="Compact"/>
        <w:numPr>
          <w:ilvl w:val="0"/>
          <w:numId w:val="1023"/>
        </w:numPr>
      </w:pPr>
      <w:r>
        <w:t xml:space="preserve">signed error versus absolute error;</w:t>
      </w:r>
    </w:p>
    <w:p>
      <w:pPr>
        <w:pStyle w:val="Compact"/>
        <w:numPr>
          <w:ilvl w:val="0"/>
          <w:numId w:val="1023"/>
        </w:numPr>
      </w:pPr>
      <w:r>
        <w:t xml:space="preserve">error relative to (</w:t>
      </w:r>
      <w:r>
        <w:t xml:space="preserve">) versus movement from one ratio to the next;</w:t>
      </w:r>
    </w:p>
    <w:p>
      <w:pPr>
        <w:pStyle w:val="Compact"/>
        <w:numPr>
          <w:ilvl w:val="0"/>
          <w:numId w:val="1023"/>
        </w:numPr>
      </w:pPr>
      <w:r>
        <w:t xml:space="preserve">discrete points versus interpolated curves;</w:t>
      </w:r>
    </w:p>
    <w:p>
      <w:pPr>
        <w:pStyle w:val="Compact"/>
        <w:numPr>
          <w:ilvl w:val="0"/>
          <w:numId w:val="1023"/>
        </w:numPr>
      </w:pPr>
      <w:r>
        <w:t xml:space="preserve">numerical coordinates versus rendered pixels;</w:t>
      </w:r>
    </w:p>
    <w:p>
      <w:pPr>
        <w:pStyle w:val="Compact"/>
        <w:numPr>
          <w:ilvl w:val="0"/>
          <w:numId w:val="1023"/>
        </w:numPr>
      </w:pPr>
      <w:r>
        <w:t xml:space="preserve">Fibonacci spiral approximations versus exact golden spirals;</w:t>
      </w:r>
    </w:p>
    <w:p>
      <w:pPr>
        <w:pStyle w:val="Compact"/>
        <w:numPr>
          <w:ilvl w:val="0"/>
          <w:numId w:val="1023"/>
        </w:numPr>
      </w:pPr>
      <w:r>
        <w:t xml:space="preserve">image-derived errors versus image-derived verified facts.</w:t>
      </w:r>
    </w:p>
    <w:p>
      <w:pPr>
        <w:pStyle w:val="FirstParagraph"/>
      </w:pPr>
      <w:r>
        <w:t xml:space="preserve">It also gives paired examples:</w:t>
      </w:r>
    </w:p>
    <w:p>
      <w:pPr>
        <w:pStyle w:val="Compact"/>
        <w:numPr>
          <w:ilvl w:val="0"/>
          <w:numId w:val="1024"/>
        </w:numPr>
      </w:pPr>
      <w:r>
        <w:t xml:space="preserve">“Index Drift”</w:t>
      </w:r>
      <w:r>
        <w:t xml:space="preserve"> </w:t>
      </w:r>
      <w:r>
        <w:t xml:space="preserve">corresponds to the fixed Fv mapping;</w:t>
      </w:r>
    </w:p>
    <w:p>
      <w:pPr>
        <w:pStyle w:val="Compact"/>
        <w:numPr>
          <w:ilvl w:val="0"/>
          <w:numId w:val="1024"/>
        </w:numPr>
      </w:pPr>
      <w:r>
        <w:t xml:space="preserve">“Ratio Reversal”</w:t>
      </w:r>
      <w:r>
        <w:t xml:space="preserve"> </w:t>
      </w:r>
      <w:r>
        <w:t xml:space="preserve">corresponds to the separate forward and reciprocal definitions;</w:t>
      </w:r>
    </w:p>
    <w:p>
      <w:pPr>
        <w:pStyle w:val="Compact"/>
        <w:numPr>
          <w:ilvl w:val="0"/>
          <w:numId w:val="1024"/>
        </w:numPr>
      </w:pPr>
      <w:r>
        <w:t xml:space="preserve">“Pixel Nudging”</w:t>
      </w:r>
      <w:r>
        <w:t xml:space="preserve"> </w:t>
      </w:r>
      <w:r>
        <w:t xml:space="preserve">corresponds to subpixel-resolution limitations;</w:t>
      </w:r>
    </w:p>
    <w:p>
      <w:pPr>
        <w:pStyle w:val="Compact"/>
        <w:numPr>
          <w:ilvl w:val="0"/>
          <w:numId w:val="1024"/>
        </w:numPr>
      </w:pPr>
      <w:r>
        <w:t xml:space="preserve">“Golden Claim”</w:t>
      </w:r>
      <w:r>
        <w:t xml:space="preserve"> </w:t>
      </w:r>
      <w:r>
        <w:t xml:space="preserve">corresponds to the exact golden-rectangle aspect ratio.</w:t>
      </w:r>
    </w:p>
    <w:p>
      <w:r>
        <w:pict>
          <v:rect style="width:0;height:1.5pt" o:hralign="center" o:hrstd="t" o:hr="t"/>
        </w:pict>
      </w:r>
    </w:p>
    <w:bookmarkEnd w:id="66"/>
    <w:bookmarkStart w:id="67" w:name="formatting-and-visual-organization"/>
    <w:p>
      <w:pPr>
        <w:pStyle w:val="Heading2"/>
      </w:pPr>
      <w:r>
        <w:t xml:space="preserve">24. Formatting and visual organization</w:t>
      </w:r>
    </w:p>
    <w:p>
      <w:pPr>
        <w:pStyle w:val="FirstParagraph"/>
      </w:pPr>
      <w:r>
        <w:t xml:space="preserve">The third document records, and the rendered files confirm, a consistent visual design:</w:t>
      </w:r>
    </w:p>
    <w:p>
      <w:pPr>
        <w:pStyle w:val="Compact"/>
        <w:numPr>
          <w:ilvl w:val="0"/>
          <w:numId w:val="1025"/>
        </w:numPr>
      </w:pPr>
      <w:r>
        <w:t xml:space="preserve">centered titles and subtitles;</w:t>
      </w:r>
    </w:p>
    <w:p>
      <w:pPr>
        <w:pStyle w:val="Compact"/>
        <w:numPr>
          <w:ilvl w:val="0"/>
          <w:numId w:val="1025"/>
        </w:numPr>
      </w:pPr>
      <w:r>
        <w:t xml:space="preserve">a centered blue Fv convention statement;</w:t>
      </w:r>
    </w:p>
    <w:p>
      <w:pPr>
        <w:pStyle w:val="Compact"/>
        <w:numPr>
          <w:ilvl w:val="0"/>
          <w:numId w:val="1025"/>
        </w:numPr>
      </w:pPr>
      <w:r>
        <w:t xml:space="preserve">blue, bold section headings;</w:t>
      </w:r>
    </w:p>
    <w:p>
      <w:pPr>
        <w:pStyle w:val="Compact"/>
        <w:numPr>
          <w:ilvl w:val="0"/>
          <w:numId w:val="1025"/>
        </w:numPr>
      </w:pPr>
      <w:r>
        <w:t xml:space="preserve">blue, bold inventory identifiers and short labels;</w:t>
      </w:r>
    </w:p>
    <w:p>
      <w:pPr>
        <w:pStyle w:val="Compact"/>
        <w:numPr>
          <w:ilvl w:val="0"/>
          <w:numId w:val="1025"/>
        </w:numPr>
      </w:pPr>
      <w:r>
        <w:t xml:space="preserve">dark body text;</w:t>
      </w:r>
    </w:p>
    <w:p>
      <w:pPr>
        <w:pStyle w:val="Compact"/>
        <w:numPr>
          <w:ilvl w:val="0"/>
          <w:numId w:val="1025"/>
        </w:numPr>
      </w:pPr>
      <w:r>
        <w:t xml:space="preserve">approximately three-quarter-inch margins;</w:t>
      </w:r>
    </w:p>
    <w:p>
      <w:pPr>
        <w:pStyle w:val="Compact"/>
        <w:numPr>
          <w:ilvl w:val="0"/>
          <w:numId w:val="1025"/>
        </w:numPr>
      </w:pPr>
      <w:r>
        <w:t xml:space="preserve">Liberation Sans body font;</w:t>
      </w:r>
    </w:p>
    <w:p>
      <w:pPr>
        <w:pStyle w:val="Compact"/>
        <w:numPr>
          <w:ilvl w:val="0"/>
          <w:numId w:val="1025"/>
        </w:numPr>
      </w:pPr>
      <w:r>
        <w:t xml:space="preserve">centered footer page numbers;</w:t>
      </w:r>
    </w:p>
    <w:p>
      <w:pPr>
        <w:pStyle w:val="Compact"/>
        <w:numPr>
          <w:ilvl w:val="0"/>
          <w:numId w:val="1025"/>
        </w:numPr>
      </w:pPr>
      <w:r>
        <w:t xml:space="preserve">hanging indents for inventory entries;</w:t>
      </w:r>
    </w:p>
    <w:p>
      <w:pPr>
        <w:pStyle w:val="Compact"/>
        <w:numPr>
          <w:ilvl w:val="0"/>
          <w:numId w:val="1025"/>
        </w:numPr>
      </w:pPr>
      <w:r>
        <w:t xml:space="preserve">appendices placed after the main bodies.</w:t>
      </w:r>
    </w:p>
    <w:p>
      <w:pPr>
        <w:pStyle w:val="FirstParagraph"/>
      </w:pPr>
      <w:r>
        <w:t xml:space="preserve">The supplied files render as five pages for the Avoids Inventory, six pages for the Truth Inventory, and five pages for the Detailed Description. Their headings, entries, page numbers, and table are legible, with no obvious clipping or overlap.</w:t>
      </w:r>
    </w:p>
    <w:p>
      <w:r>
        <w:pict>
          <v:rect style="width:0;height:1.5pt" o:hralign="center" o:hrstd="t" o:hr="t"/>
        </w:pict>
      </w:r>
    </w:p>
    <w:bookmarkEnd w:id="67"/>
    <w:bookmarkEnd w:id="68"/>
    <w:bookmarkStart w:id="74" w:name="part-iv-integrated-interpretation"/>
    <w:p>
      <w:pPr>
        <w:pStyle w:val="Heading1"/>
      </w:pPr>
      <w:r>
        <w:t xml:space="preserve">Part IV: Integrated interpretation</w:t>
      </w:r>
    </w:p>
    <w:bookmarkStart w:id="69" w:name="the-underlying-mathematical-model"/>
    <w:p>
      <w:pPr>
        <w:pStyle w:val="Heading2"/>
      </w:pPr>
      <w:r>
        <w:t xml:space="preserve">25. The underlying mathematical model</w:t>
      </w:r>
    </w:p>
    <w:p>
      <w:pPr>
        <w:pStyle w:val="FirstParagraph"/>
      </w:pPr>
      <w:r>
        <w:t xml:space="preserve">The complete document set rests on a single model:</w:t>
      </w:r>
    </w:p>
    <w:p>
      <w:pPr>
        <w:pStyle w:val="BodyText"/>
      </w:pPr>
      <w:r>
        <w:t xml:space="preserve">[</w:t>
      </w:r>
      <w:r>
        <w:t xml:space="preserve"> </w:t>
      </w:r>
      <w:r>
        <w:t xml:space="preserve">D_{-1}=0,</w:t>
      </w:r>
      <w:r>
        <w:t xml:space="preserve">D_0=1,</w:t>
      </w:r>
      <w:r>
        <w:t xml:space="preserve">D_1=1,</w:t>
      </w:r>
      <w:r>
        <w:t xml:space="preserve"> </w:t>
      </w:r>
      <w:r>
        <w:t xml:space="preserve">]</w:t>
      </w:r>
    </w:p>
    <w:p>
      <w:pPr>
        <w:pStyle w:val="BodyText"/>
      </w:pPr>
      <w:r>
        <w:t xml:space="preserve">[</w:t>
      </w:r>
      <w:r>
        <w:t xml:space="preserve"> </w:t>
      </w:r>
      <w:r>
        <w:t xml:space="preserve">D_v=D_{v-1}+D_{v-2}</w:t>
      </w:r>
      <w:r>
        <w:t xml:space="preserve">(v</w:t>
      </w:r>
      <w:r>
        <w:t xml:space="preserve">).</w:t>
      </w:r>
      <w:r>
        <w:t xml:space="preserve"> </w:t>
      </w:r>
      <w:r>
        <w:t xml:space="preserve">]</w:t>
      </w:r>
    </w:p>
    <w:p>
      <w:pPr>
        <w:pStyle w:val="BodyText"/>
      </w:pPr>
      <w:r>
        <w:t xml:space="preserve">From this destination sequence arise two ratio sequences:</w:t>
      </w:r>
    </w:p>
    <w:p>
      <w:pPr>
        <w:pStyle w:val="BodyText"/>
      </w:pPr>
      <w:r>
        <w:t xml:space="preserve">[</w:t>
      </w:r>
      <w:r>
        <w:t xml:space="preserve"> </w:t>
      </w:r>
      <w:r>
        <w:t xml:space="preserve">R_v=</w:t>
      </w:r>
      <w:r>
        <w:t xml:space="preserve">,</w:t>
      </w:r>
      <w:r>
        <w:t xml:space="preserve"> </w:t>
      </w:r>
      <w:r>
        <w:t xml:space="preserve">]</w:t>
      </w:r>
    </w:p>
    <w:p>
      <w:pPr>
        <w:pStyle w:val="BodyText"/>
      </w:pPr>
      <w:r>
        <w:t xml:space="preserve">[</w:t>
      </w:r>
      <w:r>
        <w:t xml:space="preserve"> </w:t>
      </w:r>
      <w:r>
        <w:t xml:space="preserve">Q_v=</w:t>
      </w:r>
      <w:r>
        <w:t xml:space="preserve">.</w:t>
      </w:r>
      <w:r>
        <w:t xml:space="preserve"> </w:t>
      </w:r>
      <w:r>
        <w:t xml:space="preserve">]</w:t>
      </w:r>
    </w:p>
    <w:p>
      <w:pPr>
        <w:pStyle w:val="BodyText"/>
      </w:pPr>
      <w:r>
        <w:t xml:space="preserve">The ratio recurrence</w:t>
      </w:r>
    </w:p>
    <w:p>
      <w:pPr>
        <w:pStyle w:val="BodyText"/>
      </w:pPr>
      <w:r>
        <w:t xml:space="preserve">[</w:t>
      </w:r>
      <w:r>
        <w:t xml:space="preserve"> </w:t>
      </w:r>
      <w:r>
        <w:t xml:space="preserve">R_{v+1}=1+</w:t>
      </w:r>
      <w:r>
        <w:t xml:space="preserve"> </w:t>
      </w:r>
      <w:r>
        <w:t xml:space="preserve">]</w:t>
      </w:r>
    </w:p>
    <w:p>
      <w:pPr>
        <w:pStyle w:val="BodyText"/>
      </w:pPr>
      <w:r>
        <w:t xml:space="preserve">and signed-error identity explain the alternating convergence toward (</w:t>
      </w:r>
      <w:r>
        <w:t xml:space="preserve">).</w:t>
      </w:r>
    </w:p>
    <w:p>
      <w:pPr>
        <w:pStyle w:val="BodyText"/>
      </w:pPr>
      <w:r>
        <w:t xml:space="preserve">This mathematics is then extended into three additional domains:</w:t>
      </w:r>
    </w:p>
    <w:p>
      <w:pPr>
        <w:pStyle w:val="Compact"/>
        <w:numPr>
          <w:ilvl w:val="0"/>
          <w:numId w:val="1026"/>
        </w:numPr>
      </w:pPr>
      <w:r>
        <w:rPr>
          <w:b/>
          <w:bCs/>
        </w:rPr>
        <w:t xml:space="preserve">Interpretive language:</w:t>
      </w:r>
      <w:r>
        <w:t xml:space="preserve"> </w:t>
      </w:r>
      <w:r>
        <w:t xml:space="preserve">Yesterday, Today, and Tomorrow.</w:t>
      </w:r>
    </w:p>
    <w:p>
      <w:pPr>
        <w:pStyle w:val="Compact"/>
        <w:numPr>
          <w:ilvl w:val="0"/>
          <w:numId w:val="1026"/>
        </w:numPr>
      </w:pPr>
      <w:r>
        <w:rPr>
          <w:b/>
          <w:bCs/>
        </w:rPr>
        <w:t xml:space="preserve">Visual presentation:</w:t>
      </w:r>
      <w:r>
        <w:t xml:space="preserve"> </w:t>
      </w:r>
      <w:r>
        <w:t xml:space="preserve">plots, bars, markers, insets, scales, and raster resolution.</w:t>
      </w:r>
    </w:p>
    <w:p>
      <w:pPr>
        <w:pStyle w:val="Compact"/>
        <w:numPr>
          <w:ilvl w:val="0"/>
          <w:numId w:val="1026"/>
        </w:numPr>
      </w:pPr>
      <w:r>
        <w:rPr>
          <w:b/>
          <w:bCs/>
        </w:rPr>
        <w:t xml:space="preserve">Geometry:</w:t>
      </w:r>
      <w:r>
        <w:t xml:space="preserve"> </w:t>
      </w:r>
      <w:r>
        <w:t xml:space="preserve">Fibonacci squares, golden rectangles, quarter-circle constructions, and limiting spiral concepts.</w:t>
      </w:r>
    </w:p>
    <w:p>
      <w:r>
        <w:pict>
          <v:rect style="width:0;height:1.5pt" o:hralign="center" o:hrstd="t" o:hr="t"/>
        </w:pict>
      </w:r>
    </w:p>
    <w:bookmarkEnd w:id="69"/>
    <w:bookmarkStart w:id="73" w:name="intended-workflow"/>
    <w:p>
      <w:pPr>
        <w:pStyle w:val="Heading2"/>
      </w:pPr>
      <w:r>
        <w:t xml:space="preserve">26. Intended workflow</w:t>
      </w:r>
    </w:p>
    <w:p>
      <w:pPr>
        <w:pStyle w:val="FirstParagraph"/>
      </w:pPr>
      <w:r>
        <w:t xml:space="preserve">The documents appear designed for a three-stage workflow:</w:t>
      </w:r>
    </w:p>
    <w:bookmarkStart w:id="70" w:name="stage-1-establish-the-reference"/>
    <w:p>
      <w:pPr>
        <w:pStyle w:val="Heading3"/>
      </w:pPr>
      <w:r>
        <w:t xml:space="preserve">Stage 1: establish the reference</w:t>
      </w:r>
    </w:p>
    <w:p>
      <w:pPr>
        <w:pStyle w:val="FirstParagraph"/>
      </w:pPr>
      <w:r>
        <w:t xml:space="preserve">Use the Truth Inventory and its destination table to determine the correct:</w:t>
      </w:r>
    </w:p>
    <w:p>
      <w:pPr>
        <w:pStyle w:val="Compact"/>
        <w:numPr>
          <w:ilvl w:val="0"/>
          <w:numId w:val="1027"/>
        </w:numPr>
      </w:pPr>
      <w:r>
        <w:t xml:space="preserve">sequence values;</w:t>
      </w:r>
    </w:p>
    <w:p>
      <w:pPr>
        <w:pStyle w:val="Compact"/>
        <w:numPr>
          <w:ilvl w:val="0"/>
          <w:numId w:val="1027"/>
        </w:numPr>
      </w:pPr>
      <w:r>
        <w:t xml:space="preserve">indexing;</w:t>
      </w:r>
    </w:p>
    <w:p>
      <w:pPr>
        <w:pStyle w:val="Compact"/>
        <w:numPr>
          <w:ilvl w:val="0"/>
          <w:numId w:val="1027"/>
        </w:numPr>
      </w:pPr>
      <w:r>
        <w:t xml:space="preserve">ratios;</w:t>
      </w:r>
    </w:p>
    <w:p>
      <w:pPr>
        <w:pStyle w:val="Compact"/>
        <w:numPr>
          <w:ilvl w:val="0"/>
          <w:numId w:val="1027"/>
        </w:numPr>
      </w:pPr>
      <w:r>
        <w:t xml:space="preserve">equations;</w:t>
      </w:r>
    </w:p>
    <w:p>
      <w:pPr>
        <w:pStyle w:val="Compact"/>
        <w:numPr>
          <w:ilvl w:val="0"/>
          <w:numId w:val="1027"/>
        </w:numPr>
      </w:pPr>
      <w:r>
        <w:t xml:space="preserve">limits;</w:t>
      </w:r>
    </w:p>
    <w:p>
      <w:pPr>
        <w:pStyle w:val="Compact"/>
        <w:numPr>
          <w:ilvl w:val="0"/>
          <w:numId w:val="1027"/>
        </w:numPr>
      </w:pPr>
      <w:r>
        <w:t xml:space="preserve">geometric relationships.</w:t>
      </w:r>
    </w:p>
    <w:bookmarkEnd w:id="70"/>
    <w:bookmarkStart w:id="71" w:name="stage-2-inspect-a-representation"/>
    <w:p>
      <w:pPr>
        <w:pStyle w:val="Heading3"/>
      </w:pPr>
      <w:r>
        <w:t xml:space="preserve">Stage 2: inspect a representation</w:t>
      </w:r>
    </w:p>
    <w:p>
      <w:pPr>
        <w:pStyle w:val="FirstParagraph"/>
      </w:pPr>
      <w:r>
        <w:t xml:space="preserve">Examine a chart, image, table, or explanation for:</w:t>
      </w:r>
    </w:p>
    <w:p>
      <w:pPr>
        <w:pStyle w:val="Compact"/>
        <w:numPr>
          <w:ilvl w:val="0"/>
          <w:numId w:val="1028"/>
        </w:numPr>
      </w:pPr>
      <w:r>
        <w:t xml:space="preserve">wrong numbers;</w:t>
      </w:r>
    </w:p>
    <w:p>
      <w:pPr>
        <w:pStyle w:val="Compact"/>
        <w:numPr>
          <w:ilvl w:val="0"/>
          <w:numId w:val="1028"/>
        </w:numPr>
      </w:pPr>
      <w:r>
        <w:t xml:space="preserve">wrong labels;</w:t>
      </w:r>
    </w:p>
    <w:p>
      <w:pPr>
        <w:pStyle w:val="Compact"/>
        <w:numPr>
          <w:ilvl w:val="0"/>
          <w:numId w:val="1028"/>
        </w:numPr>
      </w:pPr>
      <w:r>
        <w:t xml:space="preserve">mixed conventions;</w:t>
      </w:r>
    </w:p>
    <w:p>
      <w:pPr>
        <w:pStyle w:val="Compact"/>
        <w:numPr>
          <w:ilvl w:val="0"/>
          <w:numId w:val="1028"/>
        </w:numPr>
      </w:pPr>
      <w:r>
        <w:t xml:space="preserve">inappropriate interpolation;</w:t>
      </w:r>
    </w:p>
    <w:p>
      <w:pPr>
        <w:pStyle w:val="Compact"/>
        <w:numPr>
          <w:ilvl w:val="0"/>
          <w:numId w:val="1028"/>
        </w:numPr>
      </w:pPr>
      <w:r>
        <w:t xml:space="preserve">scale changes;</w:t>
      </w:r>
    </w:p>
    <w:p>
      <w:pPr>
        <w:pStyle w:val="Compact"/>
        <w:numPr>
          <w:ilvl w:val="0"/>
          <w:numId w:val="1028"/>
        </w:numPr>
      </w:pPr>
      <w:r>
        <w:t xml:space="preserve">pixel-level distortions;</w:t>
      </w:r>
    </w:p>
    <w:p>
      <w:pPr>
        <w:pStyle w:val="Compact"/>
        <w:numPr>
          <w:ilvl w:val="0"/>
          <w:numId w:val="1028"/>
        </w:numPr>
      </w:pPr>
      <w:r>
        <w:t xml:space="preserve">missing definitions;</w:t>
      </w:r>
    </w:p>
    <w:p>
      <w:pPr>
        <w:pStyle w:val="Compact"/>
        <w:numPr>
          <w:ilvl w:val="0"/>
          <w:numId w:val="1028"/>
        </w:numPr>
      </w:pPr>
      <w:r>
        <w:t xml:space="preserve">geometric misrepresentation.</w:t>
      </w:r>
    </w:p>
    <w:bookmarkEnd w:id="71"/>
    <w:bookmarkStart w:id="72" w:name="stage-3-classify-findings"/>
    <w:p>
      <w:pPr>
        <w:pStyle w:val="Heading3"/>
      </w:pPr>
      <w:r>
        <w:t xml:space="preserve">Stage 3: classify findings</w:t>
      </w:r>
    </w:p>
    <w:p>
      <w:pPr>
        <w:pStyle w:val="FirstParagraph"/>
      </w:pPr>
      <w:r>
        <w:t xml:space="preserve">Use:</w:t>
      </w:r>
    </w:p>
    <w:p>
      <w:pPr>
        <w:pStyle w:val="Compact"/>
        <w:numPr>
          <w:ilvl w:val="0"/>
          <w:numId w:val="1029"/>
        </w:numPr>
      </w:pPr>
      <w:r>
        <w:rPr>
          <w:rStyle w:val="VerbatimChar"/>
        </w:rPr>
        <w:t xml:space="preserve">TR-</w:t>
      </w:r>
      <w:r>
        <w:t xml:space="preserve"> </w:t>
      </w:r>
      <w:r>
        <w:t xml:space="preserve">entries to document what is correct;</w:t>
      </w:r>
    </w:p>
    <w:p>
      <w:pPr>
        <w:pStyle w:val="Compact"/>
        <w:numPr>
          <w:ilvl w:val="0"/>
          <w:numId w:val="1029"/>
        </w:numPr>
      </w:pPr>
      <w:r>
        <w:rPr>
          <w:rStyle w:val="VerbatimChar"/>
        </w:rPr>
        <w:t xml:space="preserve">AV-</w:t>
      </w:r>
      <w:r>
        <w:t xml:space="preserve"> </w:t>
      </w:r>
      <w:r>
        <w:t xml:space="preserve">entries to name the relevant error category;</w:t>
      </w:r>
    </w:p>
    <w:p>
      <w:pPr>
        <w:pStyle w:val="Compact"/>
        <w:numPr>
          <w:ilvl w:val="0"/>
          <w:numId w:val="1029"/>
        </w:numPr>
      </w:pPr>
      <w:r>
        <w:rPr>
          <w:rStyle w:val="VerbatimChar"/>
        </w:rPr>
        <w:t xml:space="preserve">REF-</w:t>
      </w:r>
      <w:r>
        <w:t xml:space="preserve"> </w:t>
      </w:r>
      <w:r>
        <w:t xml:space="preserve">entries to cite the canonical destination value.</w:t>
      </w:r>
    </w:p>
    <w:p>
      <w:pPr>
        <w:pStyle w:val="FirstParagraph"/>
      </w:pPr>
      <w:r>
        <w:t xml:space="preserve">This design makes the set useful not only as a teaching resource but as an audit taxonomy.</w:t>
      </w:r>
    </w:p>
    <w:p>
      <w:r>
        <w:pict>
          <v:rect style="width:0;height:1.5pt" o:hralign="center" o:hrstd="t" o:hr="t"/>
        </w:pict>
      </w:r>
    </w:p>
    <w:bookmarkEnd w:id="72"/>
    <w:bookmarkEnd w:id="73"/>
    <w:bookmarkEnd w:id="74"/>
    <w:bookmarkStart w:id="89" w:name="part-v-evaluation"/>
    <w:p>
      <w:pPr>
        <w:pStyle w:val="Heading1"/>
      </w:pPr>
      <w:r>
        <w:t xml:space="preserve">Part V: Evaluation</w:t>
      </w:r>
    </w:p>
    <w:bookmarkStart w:id="81" w:name="principal-strengths"/>
    <w:p>
      <w:pPr>
        <w:pStyle w:val="Heading2"/>
      </w:pPr>
      <w:r>
        <w:t xml:space="preserve">27. Principal strengths</w:t>
      </w:r>
    </w:p>
    <w:bookmarkStart w:id="75" w:name="clear-separation-of-concepts"/>
    <w:p>
      <w:pPr>
        <w:pStyle w:val="Heading3"/>
      </w:pPr>
      <w:r>
        <w:t xml:space="preserve">Clear separation of concepts</w:t>
      </w:r>
    </w:p>
    <w:p>
      <w:pPr>
        <w:pStyle w:val="FirstParagraph"/>
      </w:pPr>
      <w:r>
        <w:t xml:space="preserve">The distinction between Fv step and destination value eliminates a major source of Fibonacci ambiguity. The documents also consistently separate forward ratios from reciprocal ratios and mathematical facts from metaphorical mappings.</w:t>
      </w:r>
    </w:p>
    <w:bookmarkEnd w:id="75"/>
    <w:bookmarkStart w:id="76" w:name="complete-canonical-destination-reference"/>
    <w:p>
      <w:pPr>
        <w:pStyle w:val="Heading3"/>
      </w:pPr>
      <w:r>
        <w:t xml:space="preserve">Complete canonical destination reference</w:t>
      </w:r>
    </w:p>
    <w:p>
      <w:pPr>
        <w:pStyle w:val="FirstParagraph"/>
      </w:pPr>
      <w:r>
        <w:t xml:space="preserve">The full 30-value sequence appears in both inventories and is restated in the Truth appendix. This redundancy is useful because the sequence is the foundation for all later ratios and graphics.</w:t>
      </w:r>
    </w:p>
    <w:bookmarkEnd w:id="76"/>
    <w:bookmarkStart w:id="77" w:name="strong-visualization-standards"/>
    <w:p>
      <w:pPr>
        <w:pStyle w:val="Heading3"/>
      </w:pPr>
      <w:r>
        <w:t xml:space="preserve">Strong visualization standards</w:t>
      </w:r>
    </w:p>
    <w:p>
      <w:pPr>
        <w:pStyle w:val="FirstParagraph"/>
      </w:pPr>
      <w:r>
        <w:t xml:space="preserve">The files do more than verify arithmetic. They address interpolation, marker placement, axis identity, scale consistency, logarithmic restrictions, subpixel resolution, antialiasing, cropping, and export effects.</w:t>
      </w:r>
    </w:p>
    <w:bookmarkEnd w:id="77"/>
    <w:bookmarkStart w:id="78" w:name="Xf79a87a82f6f43dbaece5c7ff6f3ff4db3ad212"/>
    <w:p>
      <w:pPr>
        <w:pStyle w:val="Heading3"/>
      </w:pPr>
      <w:r>
        <w:t xml:space="preserve">Exact and approximate values are distinguished</w:t>
      </w:r>
    </w:p>
    <w:p>
      <w:pPr>
        <w:pStyle w:val="FirstParagraph"/>
      </w:pPr>
      <w:r>
        <w:t xml:space="preserve">Fractions remain available alongside decimal ratios, while (</w:t>
      </w:r>
      <w:r>
        <w:t xml:space="preserve">) and (1/</w:t>
      </w:r>
      <w:r>
        <w:t xml:space="preserve">) are correctly treated as irrational limits rather than finite Fibonacci ratios.</w:t>
      </w:r>
    </w:p>
    <w:bookmarkEnd w:id="78"/>
    <w:bookmarkStart w:id="79" w:name="error-taxonomy-is-highly-reusable"/>
    <w:p>
      <w:pPr>
        <w:pStyle w:val="Heading3"/>
      </w:pPr>
      <w:r>
        <w:t xml:space="preserve">Error taxonomy is highly reusable</w:t>
      </w:r>
    </w:p>
    <w:p>
      <w:pPr>
        <w:pStyle w:val="FirstParagraph"/>
      </w:pPr>
      <w:r>
        <w:t xml:space="preserve">The AV labels, such as</w:t>
      </w:r>
      <w:r>
        <w:t xml:space="preserve"> </w:t>
      </w:r>
      <w:r>
        <w:t xml:space="preserve">“Index Drift,”</w:t>
      </w:r>
      <w:r>
        <w:t xml:space="preserve"> </w:t>
      </w:r>
      <w:r>
        <w:t xml:space="preserve">“Spline Fiction,”</w:t>
      </w:r>
      <w:r>
        <w:t xml:space="preserve"> </w:t>
      </w:r>
      <w:r>
        <w:t xml:space="preserve">“Raster Authority,”</w:t>
      </w:r>
      <w:r>
        <w:t xml:space="preserve"> </w:t>
      </w:r>
      <w:r>
        <w:t xml:space="preserve">“Golden Claim,”</w:t>
      </w:r>
      <w:r>
        <w:t xml:space="preserve"> </w:t>
      </w:r>
      <w:r>
        <w:t xml:space="preserve">and</w:t>
      </w:r>
      <w:r>
        <w:t xml:space="preserve"> </w:t>
      </w:r>
      <w:r>
        <w:t xml:space="preserve">“Missing Audit,”</w:t>
      </w:r>
      <w:r>
        <w:t xml:space="preserve"> </w:t>
      </w:r>
      <w:r>
        <w:t xml:space="preserve">provide concise terminology for recurring problems.</w:t>
      </w:r>
    </w:p>
    <w:bookmarkEnd w:id="79"/>
    <w:bookmarkStart w:id="80" w:name="X6cae2caa53f463fd77d14da1d7a156c7fa57170"/>
    <w:p>
      <w:pPr>
        <w:pStyle w:val="Heading3"/>
      </w:pPr>
      <w:r>
        <w:t xml:space="preserve">Mathematical and visual auditing are integrated</w:t>
      </w:r>
    </w:p>
    <w:p>
      <w:pPr>
        <w:pStyle w:val="FirstParagraph"/>
      </w:pPr>
      <w:r>
        <w:t xml:space="preserve">A chart is not considered correct merely because its data are correct. Its indexing, axes, labels, rendering, scales, and explanatory context must also agree.</w:t>
      </w:r>
    </w:p>
    <w:p>
      <w:r>
        <w:pict>
          <v:rect style="width:0;height:1.5pt" o:hralign="center" o:hrstd="t" o:hr="t"/>
        </w:pict>
      </w:r>
    </w:p>
    <w:bookmarkEnd w:id="80"/>
    <w:bookmarkEnd w:id="81"/>
    <w:bookmarkStart w:id="87" w:name="limitations-and-boundaries"/>
    <w:p>
      <w:pPr>
        <w:pStyle w:val="Heading2"/>
      </w:pPr>
      <w:r>
        <w:t xml:space="preserve">28. Limitations and boundaries</w:t>
      </w:r>
    </w:p>
    <w:bookmarkStart w:id="82" w:name="X01c339813c6b1ff3f1d9566006725ad59807b1e"/>
    <w:p>
      <w:pPr>
        <w:pStyle w:val="Heading3"/>
      </w:pPr>
      <w:r>
        <w:t xml:space="preserve">The Truth Inventory is declarative rather than proof-oriented</w:t>
      </w:r>
    </w:p>
    <w:p>
      <w:pPr>
        <w:pStyle w:val="FirstParagraph"/>
      </w:pPr>
      <w:r>
        <w:t xml:space="preserve">It states valid formulas and properties but does not provide full derivations of every theorem. Its purpose is inventory and audit, not textbook-style proof.</w:t>
      </w:r>
    </w:p>
    <w:bookmarkEnd w:id="82"/>
    <w:bookmarkStart w:id="83" w:name="Xa30194032fbbc04529796db4e9d3583f4939d08"/>
    <w:p>
      <w:pPr>
        <w:pStyle w:val="Heading3"/>
      </w:pPr>
      <w:r>
        <w:t xml:space="preserve">Reciprocal ratios are incomplete by design</w:t>
      </w:r>
    </w:p>
    <w:p>
      <w:pPr>
        <w:pStyle w:val="FirstParagraph"/>
      </w:pPr>
      <w:r>
        <w:t xml:space="preserve">Only Fv 1 through Fv 12 are listed, whereas forward ratios continue through Fv 28.</w:t>
      </w:r>
    </w:p>
    <w:bookmarkEnd w:id="83"/>
    <w:bookmarkStart w:id="84" w:name="X05932deb588801d5015406707f6ff4fd08dda04"/>
    <w:p>
      <w:pPr>
        <w:pStyle w:val="Heading3"/>
      </w:pPr>
      <w:r>
        <w:t xml:space="preserve">Image observations are not independently reproducible here</w:t>
      </w:r>
    </w:p>
    <w:p>
      <w:pPr>
        <w:pStyle w:val="FirstParagraph"/>
      </w:pPr>
      <w:r>
        <w:t xml:space="preserve">The files record facts about seven images, but those images are not included in the documents. Independent confirmation would require the original image files.</w:t>
      </w:r>
    </w:p>
    <w:bookmarkEnd w:id="84"/>
    <w:bookmarkStart w:id="85" w:name="X20244a2d9b285286b3e65d941cd671603319e3f"/>
    <w:p>
      <w:pPr>
        <w:pStyle w:val="Heading3"/>
      </w:pPr>
      <w:r>
        <w:t xml:space="preserve">The time terminology is intentionally nonstandard</w:t>
      </w:r>
    </w:p>
    <w:p>
      <w:pPr>
        <w:pStyle w:val="FirstParagraph"/>
      </w:pPr>
      <w:r>
        <w:t xml:space="preserve">Yesterday, Today, and Tomorrow are declared metaphors. The documents handle this responsibly, but readers must not confuse those labels with standard Fibonacci terminology.</w:t>
      </w:r>
    </w:p>
    <w:bookmarkEnd w:id="85"/>
    <w:bookmarkStart w:id="86" w:name="considerable-intentional-redundancy"/>
    <w:p>
      <w:pPr>
        <w:pStyle w:val="Heading3"/>
      </w:pPr>
      <w:r>
        <w:t xml:space="preserve">Considerable intentional redundancy</w:t>
      </w:r>
    </w:p>
    <w:p>
      <w:pPr>
        <w:pStyle w:val="FirstParagraph"/>
      </w:pPr>
      <w:r>
        <w:t xml:space="preserve">The third document repeats much of the first two. This is useful as documentation and a crosswalk, but a reader seeking only the mathematics can rely primarily on the Truth Inventory.</w:t>
      </w:r>
    </w:p>
    <w:p>
      <w:r>
        <w:pict>
          <v:rect style="width:0;height:1.5pt" o:hralign="center" o:hrstd="t" o:hr="t"/>
        </w:pict>
      </w:r>
    </w:p>
    <w:bookmarkEnd w:id="86"/>
    <w:bookmarkEnd w:id="87"/>
    <w:bookmarkStart w:id="88" w:name="overall-conclusion"/>
    <w:p>
      <w:pPr>
        <w:pStyle w:val="Heading2"/>
      </w:pPr>
      <w:r>
        <w:t xml:space="preserve">29. Overall conclusion</w:t>
      </w:r>
    </w:p>
    <w:p>
      <w:pPr>
        <w:pStyle w:val="FirstParagraph"/>
      </w:pPr>
      <w:r>
        <w:t xml:space="preserve">Taken together, the documents constitute a carefully structured Fibonacci reference and quality-control system.</w:t>
      </w:r>
    </w:p>
    <w:p>
      <w:pPr>
        <w:pStyle w:val="BodyText"/>
      </w:pPr>
      <w:r>
        <w:t xml:space="preserve">The</w:t>
      </w:r>
      <w:r>
        <w:t xml:space="preserve"> </w:t>
      </w:r>
      <w:r>
        <w:rPr>
          <w:b/>
          <w:bCs/>
        </w:rPr>
        <w:t xml:space="preserve">Truth Inventory</w:t>
      </w:r>
      <w:r>
        <w:t xml:space="preserve"> </w:t>
      </w:r>
      <w:r>
        <w:t xml:space="preserve">defines the mathematical and representational standard. The</w:t>
      </w:r>
      <w:r>
        <w:t xml:space="preserve"> </w:t>
      </w:r>
      <w:r>
        <w:rPr>
          <w:b/>
          <w:bCs/>
        </w:rPr>
        <w:t xml:space="preserve">Avoids Inventory</w:t>
      </w:r>
      <w:r>
        <w:t xml:space="preserve"> </w:t>
      </w:r>
      <w:r>
        <w:t xml:space="preserve">converts deviations from that standard into named, stable audit categories. The</w:t>
      </w:r>
      <w:r>
        <w:t xml:space="preserve"> </w:t>
      </w:r>
      <w:r>
        <w:rPr>
          <w:b/>
          <w:bCs/>
        </w:rPr>
        <w:t xml:space="preserve">Detailed Description</w:t>
      </w:r>
      <w:r>
        <w:t xml:space="preserve"> </w:t>
      </w:r>
      <w:r>
        <w:t xml:space="preserve">explains how the two inventories are organized and how their entries correspond.</w:t>
      </w:r>
    </w:p>
    <w:p>
      <w:pPr>
        <w:pStyle w:val="BodyText"/>
      </w:pPr>
      <w:r>
        <w:t xml:space="preserve">The central message of the set is that an accurate Fibonacci presentation requires more than correct addition. It must maintain consistency across:</w:t>
      </w:r>
    </w:p>
    <w:p>
      <w:pPr>
        <w:pStyle w:val="Compact"/>
        <w:numPr>
          <w:ilvl w:val="0"/>
          <w:numId w:val="1030"/>
        </w:numPr>
      </w:pPr>
      <w:r>
        <w:t xml:space="preserve">indexing;</w:t>
      </w:r>
    </w:p>
    <w:p>
      <w:pPr>
        <w:pStyle w:val="Compact"/>
        <w:numPr>
          <w:ilvl w:val="0"/>
          <w:numId w:val="1030"/>
        </w:numPr>
      </w:pPr>
      <w:r>
        <w:t xml:space="preserve">destination values;</w:t>
      </w:r>
    </w:p>
    <w:p>
      <w:pPr>
        <w:pStyle w:val="Compact"/>
        <w:numPr>
          <w:ilvl w:val="0"/>
          <w:numId w:val="1030"/>
        </w:numPr>
      </w:pPr>
      <w:r>
        <w:t xml:space="preserve">ratio definitions;</w:t>
      </w:r>
    </w:p>
    <w:p>
      <w:pPr>
        <w:pStyle w:val="Compact"/>
        <w:numPr>
          <w:ilvl w:val="0"/>
          <w:numId w:val="1030"/>
        </w:numPr>
      </w:pPr>
      <w:r>
        <w:t xml:space="preserve">exact and approximate notation;</w:t>
      </w:r>
    </w:p>
    <w:p>
      <w:pPr>
        <w:pStyle w:val="Compact"/>
        <w:numPr>
          <w:ilvl w:val="0"/>
          <w:numId w:val="1030"/>
        </w:numPr>
      </w:pPr>
      <w:r>
        <w:t xml:space="preserve">limits and error measures;</w:t>
      </w:r>
    </w:p>
    <w:p>
      <w:pPr>
        <w:pStyle w:val="Compact"/>
        <w:numPr>
          <w:ilvl w:val="0"/>
          <w:numId w:val="1030"/>
        </w:numPr>
      </w:pPr>
      <w:r>
        <w:t xml:space="preserve">chart types and axis scales;</w:t>
      </w:r>
    </w:p>
    <w:p>
      <w:pPr>
        <w:pStyle w:val="Compact"/>
        <w:numPr>
          <w:ilvl w:val="0"/>
          <w:numId w:val="1030"/>
        </w:numPr>
      </w:pPr>
      <w:r>
        <w:t xml:space="preserve">raster rendering;</w:t>
      </w:r>
    </w:p>
    <w:p>
      <w:pPr>
        <w:pStyle w:val="Compact"/>
        <w:numPr>
          <w:ilvl w:val="0"/>
          <w:numId w:val="1030"/>
        </w:numPr>
      </w:pPr>
      <w:r>
        <w:t xml:space="preserve">geometric construction;</w:t>
      </w:r>
    </w:p>
    <w:p>
      <w:pPr>
        <w:pStyle w:val="Compact"/>
        <w:numPr>
          <w:ilvl w:val="0"/>
          <w:numId w:val="1030"/>
        </w:numPr>
      </w:pPr>
      <w:r>
        <w:t xml:space="preserve">labels, legends, captions, and surrounding prose.</w:t>
      </w:r>
    </w:p>
    <w:p>
      <w:pPr>
        <w:pStyle w:val="FirstParagraph"/>
      </w:pPr>
      <w:r>
        <w:t xml:space="preserve">I found the canonical sequence, ratio definitions, convergence statements, and cross-document mappings internally consistent with the declared Fv convention. The set is strongest as a specification for evaluating or constructing Fibonacci educational graphics, tables, and explanations.</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2026-07-18T23:20:15Z</dcterms:created>
  <dcterms:modified xsi:type="dcterms:W3CDTF">2026-07-18T23:20:15Z</dcterms:modified>
</cp:coreProperties>
</file>

<file path=docProps/custom.xml><?xml version="1.0" encoding="utf-8"?>
<Properties xmlns="http://schemas.openxmlformats.org/officeDocument/2006/custom-properties" xmlns:vt="http://schemas.openxmlformats.org/officeDocument/2006/docPropsVTypes"/>
</file>