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C0A6" w14:textId="77777777" w:rsidR="00A9527C" w:rsidRDefault="00000000">
      <w:pPr>
        <w:spacing w:before="157" w:after="157" w:line="270" w:lineRule="auto"/>
      </w:pPr>
      <w:bookmarkStart w:id="0" w:name="cmmc_level_2_compliance_dashboard_794173"/>
      <w:r>
        <w:rPr>
          <w:rFonts w:ascii="source serif 4" w:eastAsia="source serif 4" w:hAnsi="source serif 4" w:cs="source serif 4"/>
          <w:b/>
          <w:color w:val="000000"/>
          <w:sz w:val="39"/>
        </w:rPr>
        <w:t>CMMC Level 2 Compliance Dashboard Architecture</w:t>
      </w:r>
      <w:bookmarkEnd w:id="0"/>
    </w:p>
    <w:p w14:paraId="5DDEC0A7" w14:textId="77777777" w:rsidR="00A9527C" w:rsidRDefault="00000000">
      <w:pPr>
        <w:spacing w:after="210" w:line="360" w:lineRule="auto"/>
      </w:pPr>
      <w:r>
        <w:rPr>
          <w:rFonts w:ascii="source serif 4" w:eastAsia="source serif 4" w:hAnsi="source serif 4" w:cs="source serif 4"/>
          <w:color w:val="000000"/>
        </w:rPr>
        <w:t>This document defines the recommended architecture for an internal CMMC Level 2 compliance dashboard hosted on Cloudflare, using a static front end, Cloudflare Pages Functions or Workers for the application layer, D1 for structured data, R2 for artifact storage, and Cloudflare Access for authentication and access control.[cite:660][cite:661][cite:663][cite:671]</w:t>
      </w:r>
    </w:p>
    <w:p w14:paraId="5DDEC0A8" w14:textId="77777777" w:rsidR="00A9527C" w:rsidRDefault="00000000">
      <w:pPr>
        <w:spacing w:before="315" w:after="105" w:line="360" w:lineRule="auto"/>
        <w:ind w:left="-30"/>
      </w:pPr>
      <w:bookmarkStart w:id="1" w:name="purpose"/>
      <w:r>
        <w:rPr>
          <w:rFonts w:ascii="source serif 4" w:eastAsia="source serif 4" w:hAnsi="source serif 4" w:cs="source serif 4"/>
          <w:b/>
          <w:color w:val="000000"/>
          <w:sz w:val="24"/>
        </w:rPr>
        <w:t>Purpose</w:t>
      </w:r>
      <w:bookmarkEnd w:id="1"/>
    </w:p>
    <w:p w14:paraId="5DDEC0A9" w14:textId="77777777" w:rsidR="00A9527C" w:rsidRDefault="00000000">
      <w:pPr>
        <w:spacing w:after="210" w:line="360" w:lineRule="auto"/>
      </w:pPr>
      <w:r>
        <w:rPr>
          <w:rFonts w:ascii="source serif 4" w:eastAsia="source serif 4" w:hAnsi="source serif 4" w:cs="source serif 4"/>
          <w:color w:val="000000"/>
        </w:rPr>
        <w:t xml:space="preserve">The application is intended to support internal compliance tracking and reporting for CMMC Level 2 using the official family and control taxonomy. It must provide a dashboard overview by control family, detailed views for each family and control, editable notes and implementation commentary, artifact upload and version tracking, role-based access control, and dashboard-only CSV or PDF export </w:t>
      </w:r>
      <w:proofErr w:type="gramStart"/>
      <w:r>
        <w:rPr>
          <w:rFonts w:ascii="source serif 4" w:eastAsia="source serif 4" w:hAnsi="source serif 4" w:cs="source serif 4"/>
          <w:color w:val="000000"/>
        </w:rPr>
        <w:t>functionality.[</w:t>
      </w:r>
      <w:proofErr w:type="gramEnd"/>
      <w:r>
        <w:rPr>
          <w:rFonts w:ascii="source serif 4" w:eastAsia="source serif 4" w:hAnsi="source serif 4" w:cs="source serif 4"/>
          <w:color w:val="000000"/>
        </w:rPr>
        <w:t>cite:663]</w:t>
      </w:r>
    </w:p>
    <w:p w14:paraId="5DDEC0AA" w14:textId="77777777" w:rsidR="00A9527C" w:rsidRDefault="00000000">
      <w:pPr>
        <w:spacing w:before="315" w:after="105" w:line="360" w:lineRule="auto"/>
        <w:ind w:left="-30"/>
      </w:pPr>
      <w:bookmarkStart w:id="2" w:name="hosting_and_platform_model"/>
      <w:r>
        <w:rPr>
          <w:rFonts w:ascii="source serif 4" w:eastAsia="source serif 4" w:hAnsi="source serif 4" w:cs="source serif 4"/>
          <w:b/>
          <w:color w:val="000000"/>
          <w:sz w:val="24"/>
        </w:rPr>
        <w:t>Hosting and platform model</w:t>
      </w:r>
      <w:bookmarkEnd w:id="2"/>
    </w:p>
    <w:p w14:paraId="5DDEC0AB" w14:textId="77777777" w:rsidR="00A9527C" w:rsidRDefault="00000000">
      <w:pPr>
        <w:spacing w:after="210" w:line="360" w:lineRule="auto"/>
      </w:pPr>
      <w:r>
        <w:rPr>
          <w:rFonts w:ascii="source serif 4" w:eastAsia="source serif 4" w:hAnsi="source serif 4" w:cs="source serif 4"/>
          <w:color w:val="000000"/>
        </w:rPr>
        <w:t>The recommended platform model is:</w:t>
      </w:r>
    </w:p>
    <w:p w14:paraId="5DDEC0AC" w14:textId="77777777" w:rsidR="00A9527C" w:rsidRDefault="00000000">
      <w:pPr>
        <w:numPr>
          <w:ilvl w:val="0"/>
          <w:numId w:val="1"/>
        </w:numPr>
        <w:spacing w:before="105" w:after="105" w:line="360" w:lineRule="auto"/>
      </w:pPr>
      <w:r>
        <w:rPr>
          <w:rFonts w:ascii="source serif 4" w:eastAsia="source serif 4" w:hAnsi="source serif 4" w:cs="source serif 4"/>
          <w:color w:val="000000"/>
        </w:rPr>
        <w:t>Front end served from Cloudflare Pages.</w:t>
      </w:r>
    </w:p>
    <w:p w14:paraId="5DDEC0AD" w14:textId="77777777" w:rsidR="00A9527C" w:rsidRDefault="00000000">
      <w:pPr>
        <w:numPr>
          <w:ilvl w:val="0"/>
          <w:numId w:val="1"/>
        </w:numPr>
        <w:spacing w:before="105" w:after="105" w:line="360" w:lineRule="auto"/>
      </w:pPr>
      <w:r>
        <w:rPr>
          <w:rFonts w:ascii="source serif 4" w:eastAsia="source serif 4" w:hAnsi="source serif 4" w:cs="source serif 4"/>
          <w:color w:val="000000"/>
        </w:rPr>
        <w:t>Application endpoints implemented using Cloudflare Pages Functions or Workers with bindings.</w:t>
      </w:r>
    </w:p>
    <w:p w14:paraId="5DDEC0AE" w14:textId="77777777" w:rsidR="00A9527C" w:rsidRDefault="00000000">
      <w:pPr>
        <w:numPr>
          <w:ilvl w:val="0"/>
          <w:numId w:val="1"/>
        </w:numPr>
        <w:spacing w:before="105" w:after="105" w:line="360" w:lineRule="auto"/>
      </w:pPr>
      <w:r>
        <w:rPr>
          <w:rFonts w:ascii="source serif 4" w:eastAsia="source serif 4" w:hAnsi="source serif 4" w:cs="source serif 4"/>
          <w:color w:val="000000"/>
        </w:rPr>
        <w:t>Structured application data stored in Cloudflare D1.</w:t>
      </w:r>
    </w:p>
    <w:p w14:paraId="5DDEC0AF" w14:textId="77777777" w:rsidR="00A9527C" w:rsidRDefault="00000000">
      <w:pPr>
        <w:numPr>
          <w:ilvl w:val="0"/>
          <w:numId w:val="1"/>
        </w:numPr>
        <w:spacing w:before="105" w:after="105" w:line="360" w:lineRule="auto"/>
      </w:pPr>
      <w:r>
        <w:rPr>
          <w:rFonts w:ascii="source serif 4" w:eastAsia="source serif 4" w:hAnsi="source serif 4" w:cs="source serif 4"/>
          <w:color w:val="000000"/>
        </w:rPr>
        <w:t>Artifact binaries and archived evidence stored in Cloudflare R2.</w:t>
      </w:r>
    </w:p>
    <w:p w14:paraId="5DDEC0B0" w14:textId="77777777" w:rsidR="00A9527C" w:rsidRDefault="00000000">
      <w:pPr>
        <w:numPr>
          <w:ilvl w:val="0"/>
          <w:numId w:val="1"/>
        </w:numPr>
        <w:spacing w:before="105" w:after="105" w:line="360" w:lineRule="auto"/>
      </w:pPr>
      <w:r>
        <w:rPr>
          <w:rFonts w:ascii="source serif 4" w:eastAsia="source serif 4" w:hAnsi="source serif 4" w:cs="source serif 4"/>
          <w:color w:val="000000"/>
        </w:rPr>
        <w:t xml:space="preserve">Authentication and edge access enforcement provided by Cloudflare Access with support for multiple identity </w:t>
      </w:r>
      <w:proofErr w:type="gramStart"/>
      <w:r>
        <w:rPr>
          <w:rFonts w:ascii="source serif 4" w:eastAsia="source serif 4" w:hAnsi="source serif 4" w:cs="source serif 4"/>
          <w:color w:val="000000"/>
        </w:rPr>
        <w:t>providers.[</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660][</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661][</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663][</w:t>
      </w:r>
      <w:proofErr w:type="gramEnd"/>
      <w:r>
        <w:rPr>
          <w:rFonts w:ascii="source serif 4" w:eastAsia="source serif 4" w:hAnsi="source serif 4" w:cs="source serif 4"/>
          <w:color w:val="000000"/>
        </w:rPr>
        <w:t>cite:671]</w:t>
      </w:r>
    </w:p>
    <w:p w14:paraId="5DDEC0B1" w14:textId="77777777" w:rsidR="00A9527C" w:rsidRDefault="00000000">
      <w:pPr>
        <w:spacing w:after="210" w:line="360" w:lineRule="auto"/>
      </w:pPr>
      <w:r>
        <w:rPr>
          <w:rFonts w:ascii="source serif 4" w:eastAsia="source serif 4" w:hAnsi="source serif 4" w:cs="source serif 4"/>
          <w:color w:val="000000"/>
        </w:rPr>
        <w:t xml:space="preserve">This approach keeps the UI fast and simple while allowing durable uploads, role enforcement, audit logging, and future expansion from a single-user tool into a multi-user internal </w:t>
      </w:r>
      <w:proofErr w:type="gramStart"/>
      <w:r>
        <w:rPr>
          <w:rFonts w:ascii="source serif 4" w:eastAsia="source serif 4" w:hAnsi="source serif 4" w:cs="source serif 4"/>
          <w:color w:val="000000"/>
        </w:rPr>
        <w:t>application.[</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661][</w:t>
      </w:r>
      <w:proofErr w:type="gramEnd"/>
      <w:r>
        <w:rPr>
          <w:rFonts w:ascii="source serif 4" w:eastAsia="source serif 4" w:hAnsi="source serif 4" w:cs="source serif 4"/>
          <w:color w:val="000000"/>
        </w:rPr>
        <w:t>cite:663]</w:t>
      </w:r>
    </w:p>
    <w:p w14:paraId="5DDEC0B2" w14:textId="77777777" w:rsidR="00A9527C" w:rsidRDefault="00000000">
      <w:pPr>
        <w:spacing w:before="315" w:after="105" w:line="360" w:lineRule="auto"/>
        <w:ind w:left="-30"/>
      </w:pPr>
      <w:bookmarkStart w:id="3" w:name="authentication_and_identity"/>
      <w:r>
        <w:rPr>
          <w:rFonts w:ascii="source serif 4" w:eastAsia="source serif 4" w:hAnsi="source serif 4" w:cs="source serif 4"/>
          <w:b/>
          <w:color w:val="000000"/>
          <w:sz w:val="24"/>
        </w:rPr>
        <w:t>Authentication and identity</w:t>
      </w:r>
      <w:bookmarkEnd w:id="3"/>
    </w:p>
    <w:p w14:paraId="5DDEC0B3" w14:textId="77777777" w:rsidR="00A9527C" w:rsidRDefault="00000000">
      <w:pPr>
        <w:spacing w:after="210" w:line="360" w:lineRule="auto"/>
      </w:pPr>
      <w:r>
        <w:rPr>
          <w:rFonts w:ascii="source serif 4" w:eastAsia="source serif 4" w:hAnsi="source serif 4" w:cs="source serif 4"/>
          <w:color w:val="000000"/>
        </w:rPr>
        <w:t xml:space="preserve">The application should be protected behind Cloudflare Zero Trust </w:t>
      </w:r>
      <w:proofErr w:type="gramStart"/>
      <w:r>
        <w:rPr>
          <w:rFonts w:ascii="source serif 4" w:eastAsia="source serif 4" w:hAnsi="source serif 4" w:cs="source serif 4"/>
          <w:color w:val="000000"/>
        </w:rPr>
        <w:t>Access</w:t>
      </w:r>
      <w:proofErr w:type="gramEnd"/>
      <w:r>
        <w:rPr>
          <w:rFonts w:ascii="source serif 4" w:eastAsia="source serif 4" w:hAnsi="source serif 4" w:cs="source serif 4"/>
          <w:color w:val="000000"/>
        </w:rPr>
        <w:t xml:space="preserve"> so it is not publicly reachable without authentication. Cloudflare Access supports integration with identity providers, including Microsoft Entra ID and Google, which aligns with the requirement to begin with authentication and plan for future single sign-on through both </w:t>
      </w:r>
      <w:proofErr w:type="gramStart"/>
      <w:r>
        <w:rPr>
          <w:rFonts w:ascii="source serif 4" w:eastAsia="source serif 4" w:hAnsi="source serif 4" w:cs="source serif 4"/>
          <w:color w:val="000000"/>
        </w:rPr>
        <w:t>providers.[</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671][</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674][</w:t>
      </w:r>
      <w:proofErr w:type="gramEnd"/>
      <w:r>
        <w:rPr>
          <w:rFonts w:ascii="source serif 4" w:eastAsia="source serif 4" w:hAnsi="source serif 4" w:cs="source serif 4"/>
          <w:color w:val="000000"/>
        </w:rPr>
        <w:t>cite:669]</w:t>
      </w:r>
    </w:p>
    <w:p w14:paraId="5DDEC0B4" w14:textId="77777777" w:rsidR="00A9527C" w:rsidRDefault="00000000">
      <w:pPr>
        <w:spacing w:after="210" w:line="360" w:lineRule="auto"/>
      </w:pPr>
      <w:r>
        <w:rPr>
          <w:rFonts w:ascii="source serif 4" w:eastAsia="source serif 4" w:hAnsi="source serif 4" w:cs="source serif 4"/>
          <w:color w:val="000000"/>
        </w:rPr>
        <w:t xml:space="preserve">The application should treat the identity provider as the authentication source of truth and maintain an internal authorization model in D1. At login, the application should map the authenticated identity to an </w:t>
      </w:r>
      <w:r>
        <w:rPr>
          <w:rFonts w:ascii="source serif 4" w:eastAsia="source serif 4" w:hAnsi="source serif 4" w:cs="source serif 4"/>
          <w:color w:val="000000"/>
        </w:rPr>
        <w:lastRenderedPageBreak/>
        <w:t xml:space="preserve">internal </w:t>
      </w:r>
      <w:r>
        <w:rPr>
          <w:rStyle w:val="VerbatimChar"/>
          <w:rFonts w:ascii="menlo" w:eastAsia="menlo" w:hAnsi="menlo" w:cs="menlo"/>
          <w:color w:val="000000"/>
          <w:sz w:val="18"/>
          <w:shd w:val="clear" w:color="auto" w:fill="F8F8FA"/>
        </w:rPr>
        <w:t>users</w:t>
      </w:r>
      <w:r>
        <w:rPr>
          <w:rFonts w:ascii="source serif 4" w:eastAsia="source serif 4" w:hAnsi="source serif 4" w:cs="source serif 4"/>
          <w:color w:val="000000"/>
        </w:rPr>
        <w:t xml:space="preserve"> record and then resolve one or more roles from the </w:t>
      </w:r>
      <w:proofErr w:type="spellStart"/>
      <w:r>
        <w:rPr>
          <w:rStyle w:val="VerbatimChar"/>
          <w:rFonts w:ascii="menlo" w:eastAsia="menlo" w:hAnsi="menlo" w:cs="menlo"/>
          <w:color w:val="000000"/>
          <w:sz w:val="18"/>
          <w:shd w:val="clear" w:color="auto" w:fill="F8F8FA"/>
        </w:rPr>
        <w:t>user_roles</w:t>
      </w:r>
      <w:proofErr w:type="spellEnd"/>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table.[</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671][</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674][</w:t>
      </w:r>
      <w:proofErr w:type="gramEnd"/>
      <w:r>
        <w:rPr>
          <w:rFonts w:ascii="source serif 4" w:eastAsia="source serif 4" w:hAnsi="source serif 4" w:cs="source serif 4"/>
          <w:color w:val="000000"/>
        </w:rPr>
        <w:t>cite:669]</w:t>
      </w:r>
    </w:p>
    <w:p w14:paraId="5DDEC0B5" w14:textId="77777777" w:rsidR="00A9527C" w:rsidRDefault="00000000">
      <w:pPr>
        <w:spacing w:before="315" w:after="105" w:line="360" w:lineRule="auto"/>
        <w:ind w:left="-30"/>
      </w:pPr>
      <w:bookmarkStart w:id="4" w:name="recommended_role_model"/>
      <w:r>
        <w:rPr>
          <w:rFonts w:ascii="source serif 4" w:eastAsia="source serif 4" w:hAnsi="source serif 4" w:cs="source serif 4"/>
          <w:b/>
          <w:color w:val="000000"/>
          <w:sz w:val="24"/>
        </w:rPr>
        <w:t>Recommended role model</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24"/>
        <w:gridCol w:w="1183"/>
        <w:gridCol w:w="1474"/>
        <w:gridCol w:w="1274"/>
        <w:gridCol w:w="973"/>
        <w:gridCol w:w="1125"/>
        <w:gridCol w:w="1469"/>
        <w:gridCol w:w="1082"/>
      </w:tblGrid>
      <w:tr w:rsidR="00A9527C" w14:paraId="5DDEC0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DEC0B6" w14:textId="77777777" w:rsidR="00A9527C" w:rsidRDefault="00000000">
            <w:pPr>
              <w:spacing w:line="360" w:lineRule="auto"/>
            </w:pPr>
            <w:r>
              <w:rPr>
                <w:rFonts w:ascii="source sans 3" w:eastAsia="source sans 3" w:hAnsi="source sans 3" w:cs="source sans 3"/>
                <w:color w:val="000000"/>
                <w:sz w:val="17"/>
              </w:rPr>
              <w:t>Role</w:t>
            </w:r>
          </w:p>
        </w:tc>
        <w:tc>
          <w:tcPr>
            <w:tcW w:w="0" w:type="auto"/>
            <w:tcBorders>
              <w:top w:val="single" w:sz="1" w:space="0" w:color="000000"/>
              <w:bottom w:val="single" w:sz="1" w:space="0" w:color="000000"/>
              <w:right w:val="single" w:sz="1" w:space="0" w:color="000000"/>
            </w:tcBorders>
          </w:tcPr>
          <w:p w14:paraId="5DDEC0B7" w14:textId="77777777" w:rsidR="00A9527C" w:rsidRDefault="00000000">
            <w:pPr>
              <w:spacing w:line="360" w:lineRule="auto"/>
            </w:pPr>
            <w:r>
              <w:rPr>
                <w:rFonts w:ascii="source sans 3" w:eastAsia="source sans 3" w:hAnsi="source sans 3" w:cs="source sans 3"/>
                <w:color w:val="000000"/>
                <w:sz w:val="17"/>
              </w:rPr>
              <w:t>Dashboard overview</w:t>
            </w:r>
          </w:p>
        </w:tc>
        <w:tc>
          <w:tcPr>
            <w:tcW w:w="0" w:type="auto"/>
            <w:tcBorders>
              <w:top w:val="single" w:sz="1" w:space="0" w:color="000000"/>
              <w:bottom w:val="single" w:sz="1" w:space="0" w:color="000000"/>
              <w:right w:val="single" w:sz="1" w:space="0" w:color="000000"/>
            </w:tcBorders>
          </w:tcPr>
          <w:p w14:paraId="5DDEC0B8" w14:textId="77777777" w:rsidR="00A9527C" w:rsidRDefault="00000000">
            <w:pPr>
              <w:spacing w:line="360" w:lineRule="auto"/>
            </w:pPr>
            <w:r>
              <w:rPr>
                <w:rFonts w:ascii="source sans 3" w:eastAsia="source sans 3" w:hAnsi="source sans 3" w:cs="source sans 3"/>
                <w:color w:val="000000"/>
                <w:sz w:val="17"/>
              </w:rPr>
              <w:t>Family/control details</w:t>
            </w:r>
          </w:p>
        </w:tc>
        <w:tc>
          <w:tcPr>
            <w:tcW w:w="0" w:type="auto"/>
            <w:tcBorders>
              <w:top w:val="single" w:sz="1" w:space="0" w:color="000000"/>
              <w:bottom w:val="single" w:sz="1" w:space="0" w:color="000000"/>
              <w:right w:val="single" w:sz="1" w:space="0" w:color="000000"/>
            </w:tcBorders>
          </w:tcPr>
          <w:p w14:paraId="5DDEC0B9" w14:textId="77777777" w:rsidR="00A9527C" w:rsidRDefault="00000000">
            <w:pPr>
              <w:spacing w:line="360" w:lineRule="auto"/>
            </w:pPr>
            <w:r>
              <w:rPr>
                <w:rFonts w:ascii="source sans 3" w:eastAsia="source sans 3" w:hAnsi="source sans 3" w:cs="source sans 3"/>
                <w:color w:val="000000"/>
                <w:sz w:val="17"/>
              </w:rPr>
              <w:t>Edit status/notes</w:t>
            </w:r>
          </w:p>
        </w:tc>
        <w:tc>
          <w:tcPr>
            <w:tcW w:w="0" w:type="auto"/>
            <w:tcBorders>
              <w:top w:val="single" w:sz="1" w:space="0" w:color="000000"/>
              <w:bottom w:val="single" w:sz="1" w:space="0" w:color="000000"/>
              <w:right w:val="single" w:sz="1" w:space="0" w:color="000000"/>
            </w:tcBorders>
          </w:tcPr>
          <w:p w14:paraId="5DDEC0BA" w14:textId="77777777" w:rsidR="00A9527C" w:rsidRDefault="00000000">
            <w:pPr>
              <w:spacing w:line="360" w:lineRule="auto"/>
            </w:pPr>
            <w:r>
              <w:rPr>
                <w:rFonts w:ascii="source sans 3" w:eastAsia="source sans 3" w:hAnsi="source sans 3" w:cs="source sans 3"/>
                <w:color w:val="000000"/>
                <w:sz w:val="17"/>
              </w:rPr>
              <w:t>Upload artifacts</w:t>
            </w:r>
          </w:p>
        </w:tc>
        <w:tc>
          <w:tcPr>
            <w:tcW w:w="0" w:type="auto"/>
            <w:tcBorders>
              <w:top w:val="single" w:sz="1" w:space="0" w:color="000000"/>
              <w:bottom w:val="single" w:sz="1" w:space="0" w:color="000000"/>
              <w:right w:val="single" w:sz="1" w:space="0" w:color="000000"/>
            </w:tcBorders>
          </w:tcPr>
          <w:p w14:paraId="5DDEC0BB" w14:textId="77777777" w:rsidR="00A9527C" w:rsidRDefault="00000000">
            <w:pPr>
              <w:spacing w:line="360" w:lineRule="auto"/>
            </w:pPr>
            <w:r>
              <w:rPr>
                <w:rFonts w:ascii="source sans 3" w:eastAsia="source sans 3" w:hAnsi="source sans 3" w:cs="source sans 3"/>
                <w:color w:val="000000"/>
                <w:sz w:val="17"/>
              </w:rPr>
              <w:t>Download artifacts</w:t>
            </w:r>
          </w:p>
        </w:tc>
        <w:tc>
          <w:tcPr>
            <w:tcW w:w="0" w:type="auto"/>
            <w:tcBorders>
              <w:top w:val="single" w:sz="1" w:space="0" w:color="000000"/>
              <w:bottom w:val="single" w:sz="1" w:space="0" w:color="000000"/>
              <w:right w:val="single" w:sz="1" w:space="0" w:color="000000"/>
            </w:tcBorders>
          </w:tcPr>
          <w:p w14:paraId="5DDEC0BC" w14:textId="77777777" w:rsidR="00A9527C" w:rsidRDefault="00000000">
            <w:pPr>
              <w:spacing w:line="360" w:lineRule="auto"/>
            </w:pPr>
            <w:r>
              <w:rPr>
                <w:rFonts w:ascii="source sans 3" w:eastAsia="source sans 3" w:hAnsi="source sans 3" w:cs="source sans 3"/>
                <w:color w:val="000000"/>
                <w:sz w:val="17"/>
              </w:rPr>
              <w:t>Delete/archive artifacts</w:t>
            </w:r>
          </w:p>
        </w:tc>
        <w:tc>
          <w:tcPr>
            <w:tcW w:w="0" w:type="auto"/>
            <w:tcBorders>
              <w:top w:val="single" w:sz="1" w:space="0" w:color="000000"/>
              <w:bottom w:val="single" w:sz="1" w:space="0" w:color="000000"/>
            </w:tcBorders>
          </w:tcPr>
          <w:p w14:paraId="5DDEC0BD" w14:textId="77777777" w:rsidR="00A9527C" w:rsidRDefault="00000000">
            <w:pPr>
              <w:spacing w:line="360" w:lineRule="auto"/>
            </w:pPr>
            <w:r>
              <w:rPr>
                <w:rFonts w:ascii="source sans 3" w:eastAsia="source sans 3" w:hAnsi="source sans 3" w:cs="source sans 3"/>
                <w:color w:val="000000"/>
                <w:sz w:val="17"/>
              </w:rPr>
              <w:t>User/role admin</w:t>
            </w:r>
          </w:p>
        </w:tc>
      </w:tr>
      <w:tr w:rsidR="00A9527C" w14:paraId="5DDEC0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DEC0BF" w14:textId="77777777" w:rsidR="00A9527C" w:rsidRDefault="00000000">
            <w:pPr>
              <w:spacing w:line="360" w:lineRule="auto"/>
            </w:pPr>
            <w:r>
              <w:rPr>
                <w:rFonts w:ascii="source sans 3" w:eastAsia="source sans 3" w:hAnsi="source sans 3" w:cs="source sans 3"/>
                <w:color w:val="000000"/>
                <w:sz w:val="17"/>
              </w:rPr>
              <w:t>Super Admin</w:t>
            </w:r>
          </w:p>
        </w:tc>
        <w:tc>
          <w:tcPr>
            <w:tcW w:w="0" w:type="auto"/>
            <w:tcBorders>
              <w:top w:val="single" w:sz="1" w:space="0" w:color="000000"/>
              <w:bottom w:val="single" w:sz="1" w:space="0" w:color="000000"/>
              <w:right w:val="single" w:sz="1" w:space="0" w:color="000000"/>
            </w:tcBorders>
          </w:tcPr>
          <w:p w14:paraId="5DDEC0C0"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1"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2"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3"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4"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5"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tcBorders>
          </w:tcPr>
          <w:p w14:paraId="5DDEC0C6" w14:textId="77777777" w:rsidR="00A9527C" w:rsidRDefault="00000000">
            <w:pPr>
              <w:spacing w:line="360" w:lineRule="auto"/>
            </w:pPr>
            <w:r>
              <w:rPr>
                <w:rFonts w:ascii="source sans 3" w:eastAsia="source sans 3" w:hAnsi="source sans 3" w:cs="source sans 3"/>
                <w:color w:val="000000"/>
                <w:sz w:val="17"/>
              </w:rPr>
              <w:t>Yes</w:t>
            </w:r>
          </w:p>
        </w:tc>
      </w:tr>
      <w:tr w:rsidR="00A9527C" w14:paraId="5DDEC0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DEC0C8" w14:textId="77777777" w:rsidR="00A9527C" w:rsidRDefault="00000000">
            <w:pPr>
              <w:spacing w:line="360" w:lineRule="auto"/>
            </w:pPr>
            <w:r>
              <w:rPr>
                <w:rFonts w:ascii="source sans 3" w:eastAsia="source sans 3" w:hAnsi="source sans 3" w:cs="source sans 3"/>
                <w:color w:val="000000"/>
                <w:sz w:val="17"/>
              </w:rPr>
              <w:t>Admin</w:t>
            </w:r>
          </w:p>
        </w:tc>
        <w:tc>
          <w:tcPr>
            <w:tcW w:w="0" w:type="auto"/>
            <w:tcBorders>
              <w:top w:val="single" w:sz="1" w:space="0" w:color="000000"/>
              <w:bottom w:val="single" w:sz="1" w:space="0" w:color="000000"/>
              <w:right w:val="single" w:sz="1" w:space="0" w:color="000000"/>
            </w:tcBorders>
          </w:tcPr>
          <w:p w14:paraId="5DDEC0C9"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A"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B"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C"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D"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CE"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tcBorders>
          </w:tcPr>
          <w:p w14:paraId="5DDEC0CF" w14:textId="77777777" w:rsidR="00A9527C" w:rsidRDefault="00000000">
            <w:pPr>
              <w:spacing w:line="360" w:lineRule="auto"/>
            </w:pPr>
            <w:r>
              <w:rPr>
                <w:rFonts w:ascii="source sans 3" w:eastAsia="source sans 3" w:hAnsi="source sans 3" w:cs="source sans 3"/>
                <w:color w:val="000000"/>
                <w:sz w:val="17"/>
              </w:rPr>
              <w:t>No</w:t>
            </w:r>
          </w:p>
        </w:tc>
      </w:tr>
      <w:tr w:rsidR="00A9527C" w14:paraId="5DDEC0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DEC0D1" w14:textId="77777777" w:rsidR="00A9527C" w:rsidRDefault="00000000">
            <w:pPr>
              <w:spacing w:line="360" w:lineRule="auto"/>
            </w:pPr>
            <w:r>
              <w:rPr>
                <w:rFonts w:ascii="source sans 3" w:eastAsia="source sans 3" w:hAnsi="source sans 3" w:cs="source sans 3"/>
                <w:color w:val="000000"/>
                <w:sz w:val="17"/>
              </w:rPr>
              <w:t>Editor</w:t>
            </w:r>
          </w:p>
        </w:tc>
        <w:tc>
          <w:tcPr>
            <w:tcW w:w="0" w:type="auto"/>
            <w:tcBorders>
              <w:top w:val="single" w:sz="1" w:space="0" w:color="000000"/>
              <w:bottom w:val="single" w:sz="1" w:space="0" w:color="000000"/>
              <w:right w:val="single" w:sz="1" w:space="0" w:color="000000"/>
            </w:tcBorders>
          </w:tcPr>
          <w:p w14:paraId="5DDEC0D2"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D3"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D4"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D5"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D6"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D7"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tcBorders>
          </w:tcPr>
          <w:p w14:paraId="5DDEC0D8" w14:textId="77777777" w:rsidR="00A9527C" w:rsidRDefault="00000000">
            <w:pPr>
              <w:spacing w:line="360" w:lineRule="auto"/>
            </w:pPr>
            <w:r>
              <w:rPr>
                <w:rFonts w:ascii="source sans 3" w:eastAsia="source sans 3" w:hAnsi="source sans 3" w:cs="source sans 3"/>
                <w:color w:val="000000"/>
                <w:sz w:val="17"/>
              </w:rPr>
              <w:t>No</w:t>
            </w:r>
          </w:p>
        </w:tc>
      </w:tr>
      <w:tr w:rsidR="00A9527C" w14:paraId="5DDEC0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DEC0DA" w14:textId="77777777" w:rsidR="00A9527C" w:rsidRDefault="00000000">
            <w:pPr>
              <w:spacing w:line="360" w:lineRule="auto"/>
            </w:pPr>
            <w:r>
              <w:rPr>
                <w:rFonts w:ascii="source sans 3" w:eastAsia="source sans 3" w:hAnsi="source sans 3" w:cs="source sans 3"/>
                <w:color w:val="000000"/>
                <w:sz w:val="17"/>
              </w:rPr>
              <w:t>Auditor</w:t>
            </w:r>
          </w:p>
        </w:tc>
        <w:tc>
          <w:tcPr>
            <w:tcW w:w="0" w:type="auto"/>
            <w:tcBorders>
              <w:top w:val="single" w:sz="1" w:space="0" w:color="000000"/>
              <w:bottom w:val="single" w:sz="1" w:space="0" w:color="000000"/>
              <w:right w:val="single" w:sz="1" w:space="0" w:color="000000"/>
            </w:tcBorders>
          </w:tcPr>
          <w:p w14:paraId="5DDEC0DB"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DC"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DD"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right w:val="single" w:sz="1" w:space="0" w:color="000000"/>
            </w:tcBorders>
          </w:tcPr>
          <w:p w14:paraId="5DDEC0DE"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right w:val="single" w:sz="1" w:space="0" w:color="000000"/>
            </w:tcBorders>
          </w:tcPr>
          <w:p w14:paraId="5DDEC0DF"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right w:val="single" w:sz="1" w:space="0" w:color="000000"/>
            </w:tcBorders>
          </w:tcPr>
          <w:p w14:paraId="5DDEC0E0"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tcBorders>
          </w:tcPr>
          <w:p w14:paraId="5DDEC0E1" w14:textId="77777777" w:rsidR="00A9527C" w:rsidRDefault="00000000">
            <w:pPr>
              <w:spacing w:line="360" w:lineRule="auto"/>
            </w:pPr>
            <w:r>
              <w:rPr>
                <w:rFonts w:ascii="source sans 3" w:eastAsia="source sans 3" w:hAnsi="source sans 3" w:cs="source sans 3"/>
                <w:color w:val="000000"/>
                <w:sz w:val="17"/>
              </w:rPr>
              <w:t>No</w:t>
            </w:r>
          </w:p>
        </w:tc>
      </w:tr>
      <w:tr w:rsidR="00A9527C" w14:paraId="5DDEC0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DEC0E3" w14:textId="77777777" w:rsidR="00A9527C" w:rsidRDefault="00000000">
            <w:pPr>
              <w:spacing w:line="360" w:lineRule="auto"/>
            </w:pPr>
            <w:r>
              <w:rPr>
                <w:rFonts w:ascii="source sans 3" w:eastAsia="source sans 3" w:hAnsi="source sans 3" w:cs="source sans 3"/>
                <w:color w:val="000000"/>
                <w:sz w:val="17"/>
              </w:rPr>
              <w:t>Viewer</w:t>
            </w:r>
          </w:p>
        </w:tc>
        <w:tc>
          <w:tcPr>
            <w:tcW w:w="0" w:type="auto"/>
            <w:tcBorders>
              <w:top w:val="single" w:sz="1" w:space="0" w:color="000000"/>
              <w:bottom w:val="single" w:sz="1" w:space="0" w:color="000000"/>
              <w:right w:val="single" w:sz="1" w:space="0" w:color="000000"/>
            </w:tcBorders>
          </w:tcPr>
          <w:p w14:paraId="5DDEC0E4"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E5" w14:textId="77777777" w:rsidR="00A9527C" w:rsidRDefault="00000000">
            <w:pPr>
              <w:spacing w:line="360" w:lineRule="auto"/>
            </w:pPr>
            <w:r>
              <w:rPr>
                <w:rFonts w:ascii="source sans 3" w:eastAsia="source sans 3" w:hAnsi="source sans 3" w:cs="source sans 3"/>
                <w:color w:val="000000"/>
                <w:sz w:val="17"/>
              </w:rPr>
              <w:t>Yes</w:t>
            </w:r>
          </w:p>
        </w:tc>
        <w:tc>
          <w:tcPr>
            <w:tcW w:w="0" w:type="auto"/>
            <w:tcBorders>
              <w:top w:val="single" w:sz="1" w:space="0" w:color="000000"/>
              <w:bottom w:val="single" w:sz="1" w:space="0" w:color="000000"/>
              <w:right w:val="single" w:sz="1" w:space="0" w:color="000000"/>
            </w:tcBorders>
          </w:tcPr>
          <w:p w14:paraId="5DDEC0E6"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right w:val="single" w:sz="1" w:space="0" w:color="000000"/>
            </w:tcBorders>
          </w:tcPr>
          <w:p w14:paraId="5DDEC0E7"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right w:val="single" w:sz="1" w:space="0" w:color="000000"/>
            </w:tcBorders>
          </w:tcPr>
          <w:p w14:paraId="5DDEC0E8"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right w:val="single" w:sz="1" w:space="0" w:color="000000"/>
            </w:tcBorders>
          </w:tcPr>
          <w:p w14:paraId="5DDEC0E9" w14:textId="77777777" w:rsidR="00A9527C" w:rsidRDefault="00000000">
            <w:pPr>
              <w:spacing w:line="360" w:lineRule="auto"/>
            </w:pPr>
            <w:r>
              <w:rPr>
                <w:rFonts w:ascii="source sans 3" w:eastAsia="source sans 3" w:hAnsi="source sans 3" w:cs="source sans 3"/>
                <w:color w:val="000000"/>
                <w:sz w:val="17"/>
              </w:rPr>
              <w:t>No</w:t>
            </w:r>
          </w:p>
        </w:tc>
        <w:tc>
          <w:tcPr>
            <w:tcW w:w="0" w:type="auto"/>
            <w:tcBorders>
              <w:top w:val="single" w:sz="1" w:space="0" w:color="000000"/>
              <w:bottom w:val="single" w:sz="1" w:space="0" w:color="000000"/>
            </w:tcBorders>
          </w:tcPr>
          <w:p w14:paraId="5DDEC0EA" w14:textId="77777777" w:rsidR="00A9527C" w:rsidRDefault="00000000">
            <w:pPr>
              <w:spacing w:line="360" w:lineRule="auto"/>
            </w:pPr>
            <w:r>
              <w:rPr>
                <w:rFonts w:ascii="source sans 3" w:eastAsia="source sans 3" w:hAnsi="source sans 3" w:cs="source sans 3"/>
                <w:color w:val="000000"/>
                <w:sz w:val="17"/>
              </w:rPr>
              <w:t>No</w:t>
            </w:r>
          </w:p>
        </w:tc>
      </w:tr>
    </w:tbl>
    <w:p w14:paraId="5DDEC0EC" w14:textId="77777777" w:rsidR="00A9527C" w:rsidRDefault="00A9527C"/>
    <w:p w14:paraId="5DDEC0ED" w14:textId="77777777" w:rsidR="00A9527C" w:rsidRDefault="00000000">
      <w:pPr>
        <w:spacing w:after="210" w:line="360" w:lineRule="auto"/>
      </w:pPr>
      <w:r>
        <w:rPr>
          <w:rFonts w:ascii="source serif 4" w:eastAsia="source serif 4" w:hAnsi="source serif 4" w:cs="source serif 4"/>
          <w:color w:val="000000"/>
        </w:rPr>
        <w:t xml:space="preserve">Artifact downloads must be blocked for both </w:t>
      </w:r>
      <w:r>
        <w:rPr>
          <w:rStyle w:val="VerbatimChar"/>
          <w:rFonts w:ascii="menlo" w:eastAsia="menlo" w:hAnsi="menlo" w:cs="menlo"/>
          <w:color w:val="000000"/>
          <w:sz w:val="18"/>
          <w:shd w:val="clear" w:color="auto" w:fill="F8F8FA"/>
        </w:rPr>
        <w:t>viewer</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auditor</w:t>
      </w:r>
      <w:r>
        <w:rPr>
          <w:rFonts w:ascii="source serif 4" w:eastAsia="source serif 4" w:hAnsi="source serif 4" w:cs="source serif 4"/>
          <w:color w:val="000000"/>
        </w:rPr>
        <w:t xml:space="preserve">, while artifact deletion must be restricted to </w:t>
      </w:r>
      <w:proofErr w:type="spellStart"/>
      <w:r>
        <w:rPr>
          <w:rStyle w:val="VerbatimChar"/>
          <w:rFonts w:ascii="menlo" w:eastAsia="menlo" w:hAnsi="menlo" w:cs="menlo"/>
          <w:color w:val="000000"/>
          <w:sz w:val="18"/>
          <w:shd w:val="clear" w:color="auto" w:fill="F8F8FA"/>
        </w:rPr>
        <w:t>super_admin</w:t>
      </w:r>
      <w:proofErr w:type="spellEnd"/>
      <w:r>
        <w:rPr>
          <w:rFonts w:ascii="source serif 4" w:eastAsia="source serif 4" w:hAnsi="source serif 4" w:cs="source serif 4"/>
          <w:color w:val="000000"/>
        </w:rPr>
        <w:t xml:space="preserve">. Deletion should be implemented as an archive-and-log action rather than a hard </w:t>
      </w:r>
      <w:proofErr w:type="gramStart"/>
      <w:r>
        <w:rPr>
          <w:rFonts w:ascii="source serif 4" w:eastAsia="source serif 4" w:hAnsi="source serif 4" w:cs="source serif 4"/>
          <w:color w:val="000000"/>
        </w:rPr>
        <w:t>delete.[</w:t>
      </w:r>
      <w:proofErr w:type="gramEnd"/>
      <w:r>
        <w:rPr>
          <w:rFonts w:ascii="source serif 4" w:eastAsia="source serif 4" w:hAnsi="source serif 4" w:cs="source serif 4"/>
          <w:color w:val="000000"/>
        </w:rPr>
        <w:t>cite:664]</w:t>
      </w:r>
    </w:p>
    <w:p w14:paraId="5DDEC0EE" w14:textId="77777777" w:rsidR="00A9527C" w:rsidRDefault="00000000">
      <w:pPr>
        <w:spacing w:before="315" w:after="105" w:line="360" w:lineRule="auto"/>
        <w:ind w:left="-30"/>
      </w:pPr>
      <w:bookmarkStart w:id="5" w:name="application_information_architecture"/>
      <w:r>
        <w:rPr>
          <w:rFonts w:ascii="source serif 4" w:eastAsia="source serif 4" w:hAnsi="source serif 4" w:cs="source serif 4"/>
          <w:b/>
          <w:color w:val="000000"/>
          <w:sz w:val="24"/>
        </w:rPr>
        <w:t>Application information architecture</w:t>
      </w:r>
      <w:bookmarkEnd w:id="5"/>
    </w:p>
    <w:p w14:paraId="5DDEC0EF" w14:textId="77777777" w:rsidR="00A9527C" w:rsidRDefault="00000000">
      <w:pPr>
        <w:spacing w:after="210" w:line="360" w:lineRule="auto"/>
      </w:pPr>
      <w:r>
        <w:rPr>
          <w:rFonts w:ascii="source serif 4" w:eastAsia="source serif 4" w:hAnsi="source serif 4" w:cs="source serif 4"/>
          <w:color w:val="000000"/>
        </w:rPr>
        <w:t>The application should be organized into four main areas:</w:t>
      </w:r>
    </w:p>
    <w:p w14:paraId="5DDEC0F0" w14:textId="77777777" w:rsidR="00A9527C" w:rsidRDefault="00000000">
      <w:pPr>
        <w:numPr>
          <w:ilvl w:val="0"/>
          <w:numId w:val="2"/>
        </w:numPr>
        <w:spacing w:before="105" w:after="105" w:line="360" w:lineRule="auto"/>
      </w:pPr>
      <w:r>
        <w:rPr>
          <w:rFonts w:ascii="source serif 4" w:eastAsia="source serif 4" w:hAnsi="source serif 4" w:cs="source serif 4"/>
          <w:b/>
          <w:color w:val="000000"/>
        </w:rPr>
        <w:t>Dashboard overview</w:t>
      </w:r>
      <w:r>
        <w:rPr>
          <w:rFonts w:ascii="source serif 4" w:eastAsia="source serif 4" w:hAnsi="source serif 4" w:cs="source serif 4"/>
          <w:color w:val="000000"/>
        </w:rPr>
        <w:t>: one summary card per control family showing completion percent, counts by status, and family health indicators.</w:t>
      </w:r>
    </w:p>
    <w:p w14:paraId="5DDEC0F1" w14:textId="77777777" w:rsidR="00A9527C" w:rsidRDefault="00000000">
      <w:pPr>
        <w:numPr>
          <w:ilvl w:val="0"/>
          <w:numId w:val="2"/>
        </w:numPr>
        <w:spacing w:before="105" w:after="105" w:line="360" w:lineRule="auto"/>
      </w:pPr>
      <w:r>
        <w:rPr>
          <w:rFonts w:ascii="source serif 4" w:eastAsia="source serif 4" w:hAnsi="source serif 4" w:cs="source serif 4"/>
          <w:b/>
          <w:color w:val="000000"/>
        </w:rPr>
        <w:t xml:space="preserve">Family </w:t>
      </w:r>
      <w:proofErr w:type="gramStart"/>
      <w:r>
        <w:rPr>
          <w:rFonts w:ascii="source serif 4" w:eastAsia="source serif 4" w:hAnsi="source serif 4" w:cs="source serif 4"/>
          <w:b/>
          <w:color w:val="000000"/>
        </w:rPr>
        <w:t>detail</w:t>
      </w:r>
      <w:proofErr w:type="gramEnd"/>
      <w:r>
        <w:rPr>
          <w:rFonts w:ascii="source serif 4" w:eastAsia="source serif 4" w:hAnsi="source serif 4" w:cs="source serif 4"/>
          <w:b/>
          <w:color w:val="000000"/>
        </w:rPr>
        <w:t xml:space="preserve"> view</w:t>
      </w:r>
      <w:r>
        <w:rPr>
          <w:rFonts w:ascii="source serif 4" w:eastAsia="source serif 4" w:hAnsi="source serif 4" w:cs="source serif 4"/>
          <w:color w:val="000000"/>
        </w:rPr>
        <w:t>: all controls within a family, with rollup status, owner, due dates, evidence completeness, and quick navigation.</w:t>
      </w:r>
    </w:p>
    <w:p w14:paraId="5DDEC0F2" w14:textId="77777777" w:rsidR="00A9527C" w:rsidRDefault="00000000">
      <w:pPr>
        <w:numPr>
          <w:ilvl w:val="0"/>
          <w:numId w:val="2"/>
        </w:numPr>
        <w:spacing w:before="105" w:after="105" w:line="360" w:lineRule="auto"/>
      </w:pPr>
      <w:r>
        <w:rPr>
          <w:rFonts w:ascii="source serif 4" w:eastAsia="source serif 4" w:hAnsi="source serif 4" w:cs="source serif 4"/>
          <w:b/>
          <w:color w:val="000000"/>
        </w:rPr>
        <w:t>Control detail view</w:t>
      </w:r>
      <w:r>
        <w:rPr>
          <w:rFonts w:ascii="source serif 4" w:eastAsia="source serif 4" w:hAnsi="source serif 4" w:cs="source serif 4"/>
          <w:color w:val="000000"/>
        </w:rPr>
        <w:t>: official control metadata, editable implementation notes, review history, artifact history, and upload actions.</w:t>
      </w:r>
    </w:p>
    <w:p w14:paraId="5DDEC0F3" w14:textId="77777777" w:rsidR="00A9527C" w:rsidRDefault="00000000">
      <w:pPr>
        <w:numPr>
          <w:ilvl w:val="0"/>
          <w:numId w:val="2"/>
        </w:numPr>
        <w:spacing w:before="105" w:after="105" w:line="360" w:lineRule="auto"/>
      </w:pPr>
      <w:r>
        <w:rPr>
          <w:rFonts w:ascii="source serif 4" w:eastAsia="source serif 4" w:hAnsi="source serif 4" w:cs="source serif 4"/>
          <w:b/>
          <w:color w:val="000000"/>
        </w:rPr>
        <w:t>Dashboard export view</w:t>
      </w:r>
      <w:r>
        <w:rPr>
          <w:rFonts w:ascii="source serif 4" w:eastAsia="source serif 4" w:hAnsi="source serif 4" w:cs="source serif 4"/>
          <w:color w:val="000000"/>
        </w:rPr>
        <w:t xml:space="preserve">: export endpoints limited to overview reporting in CSV and printable/PDF </w:t>
      </w:r>
      <w:proofErr w:type="gramStart"/>
      <w:r>
        <w:rPr>
          <w:rFonts w:ascii="source serif 4" w:eastAsia="source serif 4" w:hAnsi="source serif 4" w:cs="source serif 4"/>
          <w:color w:val="000000"/>
        </w:rPr>
        <w:t>form.[</w:t>
      </w:r>
      <w:proofErr w:type="gramEnd"/>
      <w:r>
        <w:rPr>
          <w:rFonts w:ascii="source serif 4" w:eastAsia="source serif 4" w:hAnsi="source serif 4" w:cs="source serif 4"/>
          <w:color w:val="000000"/>
        </w:rPr>
        <w:t>cite:663]</w:t>
      </w:r>
    </w:p>
    <w:p w14:paraId="5DDEC0F4" w14:textId="77777777" w:rsidR="00A9527C" w:rsidRDefault="00000000">
      <w:pPr>
        <w:spacing w:after="210" w:line="360" w:lineRule="auto"/>
      </w:pPr>
      <w:r>
        <w:rPr>
          <w:rFonts w:ascii="source serif 4" w:eastAsia="source serif 4" w:hAnsi="source serif 4" w:cs="source serif 4"/>
          <w:color w:val="000000"/>
        </w:rPr>
        <w:t>The dashboard should be the only place where CSV and PDF exports are offered. Detailed control-</w:t>
      </w:r>
      <w:proofErr w:type="gramStart"/>
      <w:r>
        <w:rPr>
          <w:rFonts w:ascii="source serif 4" w:eastAsia="source serif 4" w:hAnsi="source serif 4" w:cs="source serif 4"/>
          <w:color w:val="000000"/>
        </w:rPr>
        <w:t>level evidence</w:t>
      </w:r>
      <w:proofErr w:type="gramEnd"/>
      <w:r>
        <w:rPr>
          <w:rFonts w:ascii="source serif 4" w:eastAsia="source serif 4" w:hAnsi="source serif 4" w:cs="source serif 4"/>
          <w:color w:val="000000"/>
        </w:rPr>
        <w:t xml:space="preserve"> exports should not be available in phase 1.</w:t>
      </w:r>
    </w:p>
    <w:p w14:paraId="5DDEC0F5" w14:textId="77777777" w:rsidR="00A9527C" w:rsidRDefault="00000000">
      <w:pPr>
        <w:spacing w:before="315" w:after="105" w:line="360" w:lineRule="auto"/>
        <w:ind w:left="-30"/>
      </w:pPr>
      <w:bookmarkStart w:id="6" w:name="data_model_overview"/>
      <w:r>
        <w:rPr>
          <w:rFonts w:ascii="source serif 4" w:eastAsia="source serif 4" w:hAnsi="source serif 4" w:cs="source serif 4"/>
          <w:b/>
          <w:color w:val="000000"/>
          <w:sz w:val="24"/>
        </w:rPr>
        <w:t>Data model overview</w:t>
      </w:r>
      <w:bookmarkEnd w:id="6"/>
    </w:p>
    <w:p w14:paraId="5DDEC0F6" w14:textId="77777777" w:rsidR="00A9527C" w:rsidRDefault="00000000">
      <w:pPr>
        <w:spacing w:after="210" w:line="360" w:lineRule="auto"/>
      </w:pPr>
      <w:r>
        <w:rPr>
          <w:rFonts w:ascii="source serif 4" w:eastAsia="source serif 4" w:hAnsi="source serif 4" w:cs="source serif 4"/>
          <w:color w:val="000000"/>
        </w:rPr>
        <w:t>The structured data should be stored in D1 and separated into domains:</w:t>
      </w:r>
    </w:p>
    <w:p w14:paraId="5DDEC0F7" w14:textId="77777777" w:rsidR="00A9527C" w:rsidRDefault="00000000">
      <w:pPr>
        <w:numPr>
          <w:ilvl w:val="0"/>
          <w:numId w:val="3"/>
        </w:numPr>
        <w:spacing w:before="105" w:after="105" w:line="360" w:lineRule="auto"/>
      </w:pPr>
      <w:r>
        <w:rPr>
          <w:rFonts w:ascii="source serif 4" w:eastAsia="source serif 4" w:hAnsi="source serif 4" w:cs="source serif 4"/>
          <w:color w:val="000000"/>
        </w:rPr>
        <w:t>Taxonomy domain: control families and controls.</w:t>
      </w:r>
    </w:p>
    <w:p w14:paraId="5DDEC0F8" w14:textId="77777777" w:rsidR="00A9527C" w:rsidRDefault="00000000">
      <w:pPr>
        <w:numPr>
          <w:ilvl w:val="0"/>
          <w:numId w:val="3"/>
        </w:numPr>
        <w:spacing w:before="105" w:after="105" w:line="360" w:lineRule="auto"/>
      </w:pPr>
      <w:r>
        <w:rPr>
          <w:rFonts w:ascii="source serif 4" w:eastAsia="source serif 4" w:hAnsi="source serif 4" w:cs="source serif 4"/>
          <w:color w:val="000000"/>
        </w:rPr>
        <w:t>Collaboration domain: notes, owners, reviews, and status changes.</w:t>
      </w:r>
    </w:p>
    <w:p w14:paraId="5DDEC0F9" w14:textId="77777777" w:rsidR="00A9527C" w:rsidRDefault="00000000">
      <w:pPr>
        <w:numPr>
          <w:ilvl w:val="0"/>
          <w:numId w:val="3"/>
        </w:numPr>
        <w:spacing w:before="105" w:after="105" w:line="360" w:lineRule="auto"/>
      </w:pPr>
      <w:r>
        <w:rPr>
          <w:rFonts w:ascii="source serif 4" w:eastAsia="source serif 4" w:hAnsi="source serif 4" w:cs="source serif 4"/>
          <w:color w:val="000000"/>
        </w:rPr>
        <w:t>Evidence domain: artifacts and artifact versions.</w:t>
      </w:r>
    </w:p>
    <w:p w14:paraId="5DDEC0FA" w14:textId="77777777" w:rsidR="00A9527C" w:rsidRDefault="00000000">
      <w:pPr>
        <w:numPr>
          <w:ilvl w:val="0"/>
          <w:numId w:val="3"/>
        </w:numPr>
        <w:spacing w:before="105" w:after="105" w:line="360" w:lineRule="auto"/>
      </w:pPr>
      <w:r>
        <w:rPr>
          <w:rFonts w:ascii="source serif 4" w:eastAsia="source serif 4" w:hAnsi="source serif 4" w:cs="source serif 4"/>
          <w:color w:val="000000"/>
        </w:rPr>
        <w:t>Authorization domain: users, roles, and user-role assignments.</w:t>
      </w:r>
    </w:p>
    <w:p w14:paraId="5DDEC0FB" w14:textId="77777777" w:rsidR="00A9527C" w:rsidRDefault="00000000">
      <w:pPr>
        <w:numPr>
          <w:ilvl w:val="0"/>
          <w:numId w:val="3"/>
        </w:numPr>
        <w:spacing w:before="105" w:after="105" w:line="360" w:lineRule="auto"/>
      </w:pPr>
      <w:r>
        <w:rPr>
          <w:rFonts w:ascii="source serif 4" w:eastAsia="source serif 4" w:hAnsi="source serif 4" w:cs="source serif 4"/>
          <w:color w:val="000000"/>
        </w:rPr>
        <w:t xml:space="preserve">Audit domain: high-value system and user </w:t>
      </w:r>
      <w:proofErr w:type="gramStart"/>
      <w:r>
        <w:rPr>
          <w:rFonts w:ascii="source serif 4" w:eastAsia="source serif 4" w:hAnsi="source serif 4" w:cs="source serif 4"/>
          <w:color w:val="000000"/>
        </w:rPr>
        <w:t>events.[</w:t>
      </w:r>
      <w:proofErr w:type="gramEnd"/>
      <w:r>
        <w:rPr>
          <w:rFonts w:ascii="source serif 4" w:eastAsia="source serif 4" w:hAnsi="source serif 4" w:cs="source serif 4"/>
          <w:color w:val="000000"/>
        </w:rPr>
        <w:t>cite:663]</w:t>
      </w:r>
    </w:p>
    <w:p w14:paraId="5DDEC0FC" w14:textId="77777777" w:rsidR="00A9527C" w:rsidRDefault="00000000">
      <w:pPr>
        <w:spacing w:after="210" w:line="360" w:lineRule="auto"/>
      </w:pPr>
      <w:r>
        <w:rPr>
          <w:rFonts w:ascii="source serif 4" w:eastAsia="source serif 4" w:hAnsi="source serif 4" w:cs="source serif 4"/>
          <w:color w:val="000000"/>
        </w:rPr>
        <w:t>The taxonomy should use the official CMMC Level 2 family/control structure. Local fields such as implementation notes, assessor notes, and explanatory text should be stored separately from the official identifiers and titles so the app can preserve the source taxonomy while still allowing local interpretation and implementation detail.</w:t>
      </w:r>
    </w:p>
    <w:p w14:paraId="5DDEC0FD" w14:textId="77777777" w:rsidR="00A9527C" w:rsidRDefault="00000000">
      <w:pPr>
        <w:spacing w:before="315" w:after="105" w:line="360" w:lineRule="auto"/>
        <w:ind w:left="-30"/>
      </w:pPr>
      <w:bookmarkStart w:id="7" w:name="status_model"/>
      <w:r>
        <w:rPr>
          <w:rFonts w:ascii="source serif 4" w:eastAsia="source serif 4" w:hAnsi="source serif 4" w:cs="source serif 4"/>
          <w:b/>
          <w:color w:val="000000"/>
          <w:sz w:val="24"/>
        </w:rPr>
        <w:t>Status model</w:t>
      </w:r>
      <w:bookmarkEnd w:id="7"/>
    </w:p>
    <w:p w14:paraId="5DDEC0FE" w14:textId="77777777" w:rsidR="00A9527C" w:rsidRDefault="00000000">
      <w:pPr>
        <w:spacing w:after="210" w:line="360" w:lineRule="auto"/>
      </w:pPr>
      <w:r>
        <w:rPr>
          <w:rFonts w:ascii="source serif 4" w:eastAsia="source serif 4" w:hAnsi="source serif 4" w:cs="source serif 4"/>
          <w:color w:val="000000"/>
        </w:rPr>
        <w:t>The recommended control and family status values are:</w:t>
      </w:r>
    </w:p>
    <w:p w14:paraId="5DDEC0FF"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Not Started</w:t>
      </w:r>
    </w:p>
    <w:p w14:paraId="5DDEC100"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In Progress</w:t>
      </w:r>
    </w:p>
    <w:p w14:paraId="5DDEC101"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Partially Met</w:t>
      </w:r>
    </w:p>
    <w:p w14:paraId="5DDEC102"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Implemented</w:t>
      </w:r>
    </w:p>
    <w:p w14:paraId="5DDEC103"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Needs Evidence</w:t>
      </w:r>
    </w:p>
    <w:p w14:paraId="5DDEC104"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Ready for Review</w:t>
      </w:r>
    </w:p>
    <w:p w14:paraId="5DDEC105"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Blocked</w:t>
      </w:r>
    </w:p>
    <w:p w14:paraId="5DDEC106" w14:textId="77777777" w:rsidR="00A9527C" w:rsidRDefault="00000000">
      <w:pPr>
        <w:numPr>
          <w:ilvl w:val="0"/>
          <w:numId w:val="4"/>
        </w:numPr>
        <w:spacing w:before="105" w:after="105" w:line="360" w:lineRule="auto"/>
      </w:pPr>
      <w:r>
        <w:rPr>
          <w:rFonts w:ascii="source serif 4" w:eastAsia="source serif 4" w:hAnsi="source serif 4" w:cs="source serif 4"/>
          <w:color w:val="000000"/>
        </w:rPr>
        <w:t>At Risk</w:t>
      </w:r>
    </w:p>
    <w:p w14:paraId="5DDEC107" w14:textId="77777777" w:rsidR="00A9527C" w:rsidRDefault="00000000">
      <w:pPr>
        <w:spacing w:after="210" w:line="360" w:lineRule="auto"/>
      </w:pPr>
      <w:r>
        <w:rPr>
          <w:rFonts w:ascii="source serif 4" w:eastAsia="source serif 4" w:hAnsi="source serif 4" w:cs="source serif 4"/>
          <w:color w:val="000000"/>
        </w:rPr>
        <w:t>The family-level dashboard should compute aggregate status indicators from the underlying controls. Completion percentages should be derived from weighted status rules rather than entered manually wherever possible.</w:t>
      </w:r>
    </w:p>
    <w:p w14:paraId="5DDEC108" w14:textId="77777777" w:rsidR="00A9527C" w:rsidRDefault="00000000">
      <w:pPr>
        <w:spacing w:before="315" w:after="105" w:line="360" w:lineRule="auto"/>
        <w:ind w:left="-30"/>
      </w:pPr>
      <w:bookmarkStart w:id="8" w:name="artifact_handling_model"/>
      <w:r>
        <w:rPr>
          <w:rFonts w:ascii="source serif 4" w:eastAsia="source serif 4" w:hAnsi="source serif 4" w:cs="source serif 4"/>
          <w:b/>
          <w:color w:val="000000"/>
          <w:sz w:val="24"/>
        </w:rPr>
        <w:t>Artifact handling model</w:t>
      </w:r>
      <w:bookmarkEnd w:id="8"/>
    </w:p>
    <w:p w14:paraId="5DDEC109" w14:textId="77777777" w:rsidR="00A9527C" w:rsidRDefault="00000000">
      <w:pPr>
        <w:spacing w:after="210" w:line="360" w:lineRule="auto"/>
      </w:pPr>
      <w:r>
        <w:rPr>
          <w:rFonts w:ascii="source serif 4" w:eastAsia="source serif 4" w:hAnsi="source serif 4" w:cs="source serif 4"/>
          <w:color w:val="000000"/>
        </w:rPr>
        <w:t xml:space="preserve">Artifacts may include images, spreadsheets, CSV files, screenshots, rosters, schedules, logs, or other file types appropriate to the control. These files should be stored in R2, while D1 stores artifact metadata, access rules, version history, and lifecycle </w:t>
      </w:r>
      <w:proofErr w:type="gramStart"/>
      <w:r>
        <w:rPr>
          <w:rFonts w:ascii="source serif 4" w:eastAsia="source serif 4" w:hAnsi="source serif 4" w:cs="source serif 4"/>
          <w:color w:val="000000"/>
        </w:rPr>
        <w:t>state.[</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664][</w:t>
      </w:r>
      <w:proofErr w:type="gramEnd"/>
      <w:r>
        <w:rPr>
          <w:rFonts w:ascii="source serif 4" w:eastAsia="source serif 4" w:hAnsi="source serif 4" w:cs="source serif 4"/>
          <w:color w:val="000000"/>
        </w:rPr>
        <w:t>cite:663]</w:t>
      </w:r>
    </w:p>
    <w:p w14:paraId="5DDEC10A" w14:textId="77777777" w:rsidR="00A9527C" w:rsidRDefault="00000000">
      <w:pPr>
        <w:spacing w:before="315" w:after="105" w:line="360" w:lineRule="auto"/>
        <w:ind w:left="-30"/>
      </w:pPr>
      <w:bookmarkStart w:id="9" w:name="upload_rules"/>
      <w:r>
        <w:rPr>
          <w:rFonts w:ascii="source serif 4" w:eastAsia="source serif 4" w:hAnsi="source serif 4" w:cs="source serif 4"/>
          <w:b/>
          <w:color w:val="000000"/>
          <w:sz w:val="24"/>
        </w:rPr>
        <w:t>Upload rules</w:t>
      </w:r>
      <w:bookmarkEnd w:id="9"/>
    </w:p>
    <w:p w14:paraId="5DDEC10B" w14:textId="77777777" w:rsidR="00A9527C" w:rsidRDefault="00000000">
      <w:pPr>
        <w:spacing w:after="210" w:line="360" w:lineRule="auto"/>
      </w:pPr>
      <w:r>
        <w:rPr>
          <w:rFonts w:ascii="source serif 4" w:eastAsia="source serif 4" w:hAnsi="source serif 4" w:cs="source serif 4"/>
          <w:color w:val="000000"/>
        </w:rPr>
        <w:t>Before a file is uploaded, the UI should display a warning that regulated or sensitive content must not be stored in the system. The warning must explicitly mention FCI, CUI, PII, and other sensitive data. The upload workflow should require the user to acknowledge this warning before the file is accepted.</w:t>
      </w:r>
    </w:p>
    <w:p w14:paraId="5DDEC10C" w14:textId="77777777" w:rsidR="00A9527C" w:rsidRDefault="00000000">
      <w:pPr>
        <w:spacing w:after="210" w:line="360" w:lineRule="auto"/>
      </w:pPr>
      <w:r>
        <w:rPr>
          <w:rFonts w:ascii="source serif 4" w:eastAsia="source serif 4" w:hAnsi="source serif 4" w:cs="source serif 4"/>
          <w:color w:val="000000"/>
        </w:rPr>
        <w:t>Recommended upload flow:</w:t>
      </w:r>
    </w:p>
    <w:p w14:paraId="5DDEC10D" w14:textId="77777777" w:rsidR="00A9527C" w:rsidRDefault="00000000">
      <w:pPr>
        <w:numPr>
          <w:ilvl w:val="0"/>
          <w:numId w:val="5"/>
        </w:numPr>
        <w:spacing w:before="105" w:after="105" w:line="360" w:lineRule="auto"/>
      </w:pPr>
      <w:r>
        <w:rPr>
          <w:rFonts w:ascii="source serif 4" w:eastAsia="source serif 4" w:hAnsi="source serif 4" w:cs="source serif 4"/>
          <w:color w:val="000000"/>
        </w:rPr>
        <w:t>User selects a control and chooses a file.</w:t>
      </w:r>
    </w:p>
    <w:p w14:paraId="5DDEC10E" w14:textId="77777777" w:rsidR="00A9527C" w:rsidRDefault="00000000">
      <w:pPr>
        <w:numPr>
          <w:ilvl w:val="0"/>
          <w:numId w:val="5"/>
        </w:numPr>
        <w:spacing w:before="105" w:after="105" w:line="360" w:lineRule="auto"/>
      </w:pPr>
      <w:r>
        <w:rPr>
          <w:rFonts w:ascii="source serif 4" w:eastAsia="source serif 4" w:hAnsi="source serif 4" w:cs="source serif 4"/>
          <w:color w:val="000000"/>
        </w:rPr>
        <w:t>UI displays warning and requires acknowledgement.</w:t>
      </w:r>
    </w:p>
    <w:p w14:paraId="5DDEC10F" w14:textId="77777777" w:rsidR="00A9527C" w:rsidRDefault="00000000">
      <w:pPr>
        <w:numPr>
          <w:ilvl w:val="0"/>
          <w:numId w:val="5"/>
        </w:numPr>
        <w:spacing w:before="105" w:after="105" w:line="360" w:lineRule="auto"/>
      </w:pPr>
      <w:proofErr w:type="gramStart"/>
      <w:r>
        <w:rPr>
          <w:rFonts w:ascii="source serif 4" w:eastAsia="source serif 4" w:hAnsi="source serif 4" w:cs="source serif 4"/>
          <w:color w:val="000000"/>
        </w:rPr>
        <w:t>Worker validates</w:t>
      </w:r>
      <w:proofErr w:type="gramEnd"/>
      <w:r>
        <w:rPr>
          <w:rFonts w:ascii="source serif 4" w:eastAsia="source serif 4" w:hAnsi="source serif 4" w:cs="source serif 4"/>
          <w:color w:val="000000"/>
        </w:rPr>
        <w:t xml:space="preserve"> authentication and role.</w:t>
      </w:r>
    </w:p>
    <w:p w14:paraId="5DDEC110" w14:textId="77777777" w:rsidR="00A9527C" w:rsidRDefault="00000000">
      <w:pPr>
        <w:numPr>
          <w:ilvl w:val="0"/>
          <w:numId w:val="5"/>
        </w:numPr>
        <w:spacing w:before="105" w:after="105" w:line="360" w:lineRule="auto"/>
      </w:pPr>
      <w:r>
        <w:rPr>
          <w:rFonts w:ascii="source serif 4" w:eastAsia="source serif 4" w:hAnsi="source serif 4" w:cs="source serif 4"/>
          <w:color w:val="000000"/>
        </w:rPr>
        <w:t xml:space="preserve">Worker writes </w:t>
      </w:r>
      <w:proofErr w:type="gramStart"/>
      <w:r>
        <w:rPr>
          <w:rFonts w:ascii="source serif 4" w:eastAsia="source serif 4" w:hAnsi="source serif 4" w:cs="source serif 4"/>
          <w:color w:val="000000"/>
        </w:rPr>
        <w:t>file</w:t>
      </w:r>
      <w:proofErr w:type="gramEnd"/>
      <w:r>
        <w:rPr>
          <w:rFonts w:ascii="source serif 4" w:eastAsia="source serif 4" w:hAnsi="source serif 4" w:cs="source serif 4"/>
          <w:color w:val="000000"/>
        </w:rPr>
        <w:t xml:space="preserve"> to R2 using a versioned object key.</w:t>
      </w:r>
    </w:p>
    <w:p w14:paraId="5DDEC111" w14:textId="77777777" w:rsidR="00A9527C" w:rsidRDefault="00000000">
      <w:pPr>
        <w:numPr>
          <w:ilvl w:val="0"/>
          <w:numId w:val="5"/>
        </w:numPr>
        <w:spacing w:before="105" w:after="105" w:line="360" w:lineRule="auto"/>
      </w:pPr>
      <w:r>
        <w:rPr>
          <w:rFonts w:ascii="source serif 4" w:eastAsia="source serif 4" w:hAnsi="source serif 4" w:cs="source serif 4"/>
          <w:color w:val="000000"/>
        </w:rPr>
        <w:t>Worker writes artifact metadata and artifact version row to D1.</w:t>
      </w:r>
    </w:p>
    <w:p w14:paraId="5DDEC112" w14:textId="77777777" w:rsidR="00A9527C" w:rsidRDefault="00000000">
      <w:pPr>
        <w:numPr>
          <w:ilvl w:val="0"/>
          <w:numId w:val="5"/>
        </w:numPr>
        <w:spacing w:before="105" w:after="105" w:line="360" w:lineRule="auto"/>
      </w:pPr>
      <w:r>
        <w:rPr>
          <w:rFonts w:ascii="source serif 4" w:eastAsia="source serif 4" w:hAnsi="source serif 4" w:cs="source serif 4"/>
          <w:color w:val="000000"/>
        </w:rPr>
        <w:t xml:space="preserve">Worker writes an audit event for the </w:t>
      </w:r>
      <w:proofErr w:type="gramStart"/>
      <w:r>
        <w:rPr>
          <w:rFonts w:ascii="source serif 4" w:eastAsia="source serif 4" w:hAnsi="source serif 4" w:cs="source serif 4"/>
          <w:color w:val="000000"/>
        </w:rPr>
        <w:t>upload.[</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664][</w:t>
      </w:r>
      <w:proofErr w:type="gramEnd"/>
      <w:r>
        <w:rPr>
          <w:rFonts w:ascii="source serif 4" w:eastAsia="source serif 4" w:hAnsi="source serif 4" w:cs="source serif 4"/>
          <w:color w:val="000000"/>
        </w:rPr>
        <w:t>cite:663]</w:t>
      </w:r>
    </w:p>
    <w:p w14:paraId="5DDEC113" w14:textId="77777777" w:rsidR="00A9527C" w:rsidRDefault="00000000">
      <w:pPr>
        <w:spacing w:before="315" w:after="105" w:line="360" w:lineRule="auto"/>
        <w:ind w:left="-30"/>
      </w:pPr>
      <w:bookmarkStart w:id="10" w:name="versioning"/>
      <w:r>
        <w:rPr>
          <w:rFonts w:ascii="source serif 4" w:eastAsia="source serif 4" w:hAnsi="source serif 4" w:cs="source serif 4"/>
          <w:b/>
          <w:color w:val="000000"/>
          <w:sz w:val="24"/>
        </w:rPr>
        <w:t>Versioning</w:t>
      </w:r>
      <w:bookmarkEnd w:id="10"/>
    </w:p>
    <w:p w14:paraId="5DDEC114" w14:textId="77777777" w:rsidR="00A9527C" w:rsidRDefault="00000000">
      <w:pPr>
        <w:spacing w:after="210" w:line="360" w:lineRule="auto"/>
      </w:pPr>
      <w:r>
        <w:rPr>
          <w:rFonts w:ascii="source serif 4" w:eastAsia="source serif 4" w:hAnsi="source serif 4" w:cs="source serif 4"/>
          <w:color w:val="000000"/>
        </w:rPr>
        <w:t>Artifacts must support retained history and previous versions. A new upload against an existing artifact should create a new version row rather than overwriting prior content. The application should always preserve older versions for inspection and audit purposes.</w:t>
      </w:r>
    </w:p>
    <w:p w14:paraId="5DDEC115" w14:textId="77777777" w:rsidR="00A9527C" w:rsidRDefault="00000000">
      <w:pPr>
        <w:spacing w:before="315" w:after="105" w:line="360" w:lineRule="auto"/>
        <w:ind w:left="-30"/>
      </w:pPr>
      <w:bookmarkStart w:id="11" w:name="archival_delete_behavior"/>
      <w:r>
        <w:rPr>
          <w:rFonts w:ascii="source serif 4" w:eastAsia="source serif 4" w:hAnsi="source serif 4" w:cs="source serif 4"/>
          <w:b/>
          <w:color w:val="000000"/>
          <w:sz w:val="24"/>
        </w:rPr>
        <w:t>Archival delete behavior</w:t>
      </w:r>
      <w:bookmarkEnd w:id="11"/>
    </w:p>
    <w:p w14:paraId="5DDEC116" w14:textId="77777777" w:rsidR="00A9527C" w:rsidRDefault="00000000">
      <w:pPr>
        <w:spacing w:after="210" w:line="360" w:lineRule="auto"/>
      </w:pPr>
      <w:r>
        <w:rPr>
          <w:rFonts w:ascii="source serif 4" w:eastAsia="source serif 4" w:hAnsi="source serif 4" w:cs="source serif 4"/>
          <w:color w:val="000000"/>
        </w:rPr>
        <w:t xml:space="preserve">A delete action should be available only to </w:t>
      </w:r>
      <w:proofErr w:type="spellStart"/>
      <w:r>
        <w:rPr>
          <w:rStyle w:val="VerbatimChar"/>
          <w:rFonts w:ascii="menlo" w:eastAsia="menlo" w:hAnsi="menlo" w:cs="menlo"/>
          <w:color w:val="000000"/>
          <w:sz w:val="18"/>
          <w:shd w:val="clear" w:color="auto" w:fill="F8F8FA"/>
        </w:rPr>
        <w:t>super_admin</w:t>
      </w:r>
      <w:proofErr w:type="spellEnd"/>
      <w:r>
        <w:rPr>
          <w:rFonts w:ascii="source serif 4" w:eastAsia="source serif 4" w:hAnsi="source serif 4" w:cs="source serif 4"/>
          <w:color w:val="000000"/>
        </w:rPr>
        <w:t>. The delete process should:</w:t>
      </w:r>
    </w:p>
    <w:p w14:paraId="5DDEC117" w14:textId="77777777" w:rsidR="00A9527C" w:rsidRDefault="00000000">
      <w:pPr>
        <w:numPr>
          <w:ilvl w:val="0"/>
          <w:numId w:val="6"/>
        </w:numPr>
        <w:spacing w:before="105" w:after="105" w:line="360" w:lineRule="auto"/>
      </w:pPr>
      <w:r>
        <w:rPr>
          <w:rFonts w:ascii="source serif 4" w:eastAsia="source serif 4" w:hAnsi="source serif 4" w:cs="source serif 4"/>
          <w:color w:val="000000"/>
        </w:rPr>
        <w:t>Record the request and actor in the audit log.</w:t>
      </w:r>
    </w:p>
    <w:p w14:paraId="5DDEC118" w14:textId="77777777" w:rsidR="00A9527C" w:rsidRDefault="00000000">
      <w:pPr>
        <w:numPr>
          <w:ilvl w:val="0"/>
          <w:numId w:val="6"/>
        </w:numPr>
        <w:spacing w:before="105" w:after="105" w:line="360" w:lineRule="auto"/>
      </w:pPr>
      <w:r>
        <w:rPr>
          <w:rFonts w:ascii="source serif 4" w:eastAsia="source serif 4" w:hAnsi="source serif 4" w:cs="source serif 4"/>
          <w:color w:val="000000"/>
        </w:rPr>
        <w:t>Move or copy the file from the active R2 path to an archive location or archive bucket.</w:t>
      </w:r>
    </w:p>
    <w:p w14:paraId="5DDEC119" w14:textId="77777777" w:rsidR="00A9527C" w:rsidRDefault="00000000">
      <w:pPr>
        <w:numPr>
          <w:ilvl w:val="0"/>
          <w:numId w:val="6"/>
        </w:numPr>
        <w:spacing w:before="105" w:after="105" w:line="360" w:lineRule="auto"/>
      </w:pPr>
      <w:r>
        <w:rPr>
          <w:rFonts w:ascii="source serif 4" w:eastAsia="source serif 4" w:hAnsi="source serif 4" w:cs="source serif 4"/>
          <w:color w:val="000000"/>
        </w:rPr>
        <w:t>Mark the artifact or artifact version as deleted or archived in D1.</w:t>
      </w:r>
    </w:p>
    <w:p w14:paraId="5DDEC11A" w14:textId="77777777" w:rsidR="00A9527C" w:rsidRDefault="00000000">
      <w:pPr>
        <w:numPr>
          <w:ilvl w:val="0"/>
          <w:numId w:val="6"/>
        </w:numPr>
        <w:spacing w:before="105" w:after="105" w:line="360" w:lineRule="auto"/>
      </w:pPr>
      <w:r>
        <w:rPr>
          <w:rFonts w:ascii="source serif 4" w:eastAsia="source serif 4" w:hAnsi="source serif 4" w:cs="source serif 4"/>
          <w:color w:val="000000"/>
        </w:rPr>
        <w:t xml:space="preserve">Preserve historical metadata for reporting and </w:t>
      </w:r>
      <w:proofErr w:type="gramStart"/>
      <w:r>
        <w:rPr>
          <w:rFonts w:ascii="source serif 4" w:eastAsia="source serif 4" w:hAnsi="source serif 4" w:cs="source serif 4"/>
          <w:color w:val="000000"/>
        </w:rPr>
        <w:t>reconstruction.[</w:t>
      </w:r>
      <w:proofErr w:type="gramEnd"/>
      <w:r>
        <w:rPr>
          <w:rFonts w:ascii="source serif 4" w:eastAsia="source serif 4" w:hAnsi="source serif 4" w:cs="source serif 4"/>
          <w:color w:val="000000"/>
        </w:rPr>
        <w:t>cite:664]</w:t>
      </w:r>
    </w:p>
    <w:p w14:paraId="5DDEC11B" w14:textId="77777777" w:rsidR="00A9527C" w:rsidRDefault="00000000">
      <w:pPr>
        <w:spacing w:before="315" w:after="105" w:line="360" w:lineRule="auto"/>
        <w:ind w:left="-30"/>
      </w:pPr>
      <w:bookmarkStart w:id="12" w:name="r2_storage_layout"/>
      <w:r>
        <w:rPr>
          <w:rFonts w:ascii="source serif 4" w:eastAsia="source serif 4" w:hAnsi="source serif 4" w:cs="source serif 4"/>
          <w:b/>
          <w:color w:val="000000"/>
          <w:sz w:val="24"/>
        </w:rPr>
        <w:t>R2 storage layout</w:t>
      </w:r>
      <w:bookmarkEnd w:id="12"/>
    </w:p>
    <w:p w14:paraId="5DDEC11C" w14:textId="77777777" w:rsidR="00A9527C" w:rsidRDefault="00000000">
      <w:pPr>
        <w:spacing w:after="210" w:line="360" w:lineRule="auto"/>
      </w:pPr>
      <w:r>
        <w:rPr>
          <w:rFonts w:ascii="source serif 4" w:eastAsia="source serif 4" w:hAnsi="source serif 4" w:cs="source serif 4"/>
          <w:color w:val="000000"/>
        </w:rPr>
        <w:t>A clear, deterministic key structure will simplify lifecycle management.</w:t>
      </w:r>
    </w:p>
    <w:p w14:paraId="5DDEC11D" w14:textId="77777777" w:rsidR="00A9527C" w:rsidRDefault="00000000">
      <w:pPr>
        <w:spacing w:before="315" w:after="105" w:line="360" w:lineRule="auto"/>
        <w:ind w:left="-30"/>
      </w:pPr>
      <w:bookmarkStart w:id="13" w:name="active_bucket_key_pattern"/>
      <w:r>
        <w:rPr>
          <w:rFonts w:ascii="source serif 4" w:eastAsia="source serif 4" w:hAnsi="source serif 4" w:cs="source serif 4"/>
          <w:b/>
          <w:color w:val="000000"/>
          <w:sz w:val="24"/>
        </w:rPr>
        <w:t>Active bucket/key pattern</w:t>
      </w:r>
      <w:bookmarkEnd w:id="13"/>
    </w:p>
    <w:p w14:paraId="5DDEC11E" w14:textId="77777777" w:rsidR="00A9527C" w:rsidRDefault="00000000">
      <w:pPr>
        <w:spacing w:after="210" w:line="360" w:lineRule="auto"/>
      </w:pPr>
      <w:proofErr w:type="gramStart"/>
      <w:r>
        <w:rPr>
          <w:rStyle w:val="VerbatimChar"/>
          <w:rFonts w:ascii="menlo" w:eastAsia="menlo" w:hAnsi="menlo" w:cs="menlo"/>
          <w:color w:val="000000"/>
          <w:sz w:val="18"/>
          <w:shd w:val="clear" w:color="auto" w:fill="F8F8FA"/>
        </w:rPr>
        <w:t>controls/{</w:t>
      </w:r>
      <w:proofErr w:type="gramEnd"/>
      <w:r>
        <w:rPr>
          <w:rStyle w:val="VerbatimChar"/>
          <w:rFonts w:ascii="menlo" w:eastAsia="menlo" w:hAnsi="menlo" w:cs="menlo"/>
          <w:color w:val="000000"/>
          <w:sz w:val="18"/>
          <w:shd w:val="clear" w:color="auto" w:fill="F8F8FA"/>
        </w:rPr>
        <w:t>control_</w:t>
      </w:r>
      <w:proofErr w:type="gramStart"/>
      <w:r>
        <w:rPr>
          <w:rStyle w:val="VerbatimChar"/>
          <w:rFonts w:ascii="menlo" w:eastAsia="menlo" w:hAnsi="menlo" w:cs="menlo"/>
          <w:color w:val="000000"/>
          <w:sz w:val="18"/>
          <w:shd w:val="clear" w:color="auto" w:fill="F8F8FA"/>
        </w:rPr>
        <w:t>id}/{</w:t>
      </w:r>
      <w:proofErr w:type="gramEnd"/>
      <w:r>
        <w:rPr>
          <w:rStyle w:val="VerbatimChar"/>
          <w:rFonts w:ascii="menlo" w:eastAsia="menlo" w:hAnsi="menlo" w:cs="menlo"/>
          <w:color w:val="000000"/>
          <w:sz w:val="18"/>
          <w:shd w:val="clear" w:color="auto" w:fill="F8F8FA"/>
        </w:rPr>
        <w:t>artifact_</w:t>
      </w:r>
      <w:proofErr w:type="gramStart"/>
      <w:r>
        <w:rPr>
          <w:rStyle w:val="VerbatimChar"/>
          <w:rFonts w:ascii="menlo" w:eastAsia="menlo" w:hAnsi="menlo" w:cs="menlo"/>
          <w:color w:val="000000"/>
          <w:sz w:val="18"/>
          <w:shd w:val="clear" w:color="auto" w:fill="F8F8FA"/>
        </w:rPr>
        <w:t>id}/v{</w:t>
      </w:r>
      <w:proofErr w:type="gramEnd"/>
      <w:r>
        <w:rPr>
          <w:rStyle w:val="VerbatimChar"/>
          <w:rFonts w:ascii="menlo" w:eastAsia="menlo" w:hAnsi="menlo" w:cs="menlo"/>
          <w:color w:val="000000"/>
          <w:sz w:val="18"/>
          <w:shd w:val="clear" w:color="auto" w:fill="F8F8FA"/>
        </w:rPr>
        <w:t>version_</w:t>
      </w:r>
      <w:proofErr w:type="gramStart"/>
      <w:r>
        <w:rPr>
          <w:rStyle w:val="VerbatimChar"/>
          <w:rFonts w:ascii="menlo" w:eastAsia="menlo" w:hAnsi="menlo" w:cs="menlo"/>
          <w:color w:val="000000"/>
          <w:sz w:val="18"/>
          <w:shd w:val="clear" w:color="auto" w:fill="F8F8FA"/>
        </w:rPr>
        <w:t>number}/{</w:t>
      </w:r>
      <w:proofErr w:type="gramEnd"/>
      <w:r>
        <w:rPr>
          <w:rStyle w:val="VerbatimChar"/>
          <w:rFonts w:ascii="menlo" w:eastAsia="menlo" w:hAnsi="menlo" w:cs="menlo"/>
          <w:color w:val="000000"/>
          <w:sz w:val="18"/>
          <w:shd w:val="clear" w:color="auto" w:fill="F8F8FA"/>
        </w:rPr>
        <w:t>original_file_name}</w:t>
      </w:r>
    </w:p>
    <w:p w14:paraId="5DDEC11F" w14:textId="77777777" w:rsidR="00A9527C" w:rsidRDefault="00000000">
      <w:pPr>
        <w:spacing w:before="315" w:after="105" w:line="360" w:lineRule="auto"/>
        <w:ind w:left="-30"/>
      </w:pPr>
      <w:bookmarkStart w:id="14" w:name="archive_bucket_key_pattern"/>
      <w:r>
        <w:rPr>
          <w:rFonts w:ascii="source serif 4" w:eastAsia="source serif 4" w:hAnsi="source serif 4" w:cs="source serif 4"/>
          <w:b/>
          <w:color w:val="000000"/>
          <w:sz w:val="24"/>
        </w:rPr>
        <w:t>Archive bucket/key pattern</w:t>
      </w:r>
      <w:bookmarkEnd w:id="14"/>
    </w:p>
    <w:p w14:paraId="5DDEC120" w14:textId="77777777" w:rsidR="00A9527C" w:rsidRDefault="00000000">
      <w:pPr>
        <w:spacing w:after="210" w:line="360" w:lineRule="auto"/>
      </w:pPr>
      <w:r>
        <w:rPr>
          <w:rStyle w:val="VerbatimChar"/>
          <w:rFonts w:ascii="menlo" w:eastAsia="menlo" w:hAnsi="menlo" w:cs="menlo"/>
          <w:color w:val="000000"/>
          <w:sz w:val="18"/>
          <w:shd w:val="clear" w:color="auto" w:fill="F8F8FA"/>
        </w:rPr>
        <w:t>archive/</w:t>
      </w:r>
      <w:proofErr w:type="gramStart"/>
      <w:r>
        <w:rPr>
          <w:rStyle w:val="VerbatimChar"/>
          <w:rFonts w:ascii="menlo" w:eastAsia="menlo" w:hAnsi="menlo" w:cs="menlo"/>
          <w:color w:val="000000"/>
          <w:sz w:val="18"/>
          <w:shd w:val="clear" w:color="auto" w:fill="F8F8FA"/>
        </w:rPr>
        <w:t>controls/{</w:t>
      </w:r>
      <w:proofErr w:type="gramEnd"/>
      <w:r>
        <w:rPr>
          <w:rStyle w:val="VerbatimChar"/>
          <w:rFonts w:ascii="menlo" w:eastAsia="menlo" w:hAnsi="menlo" w:cs="menlo"/>
          <w:color w:val="000000"/>
          <w:sz w:val="18"/>
          <w:shd w:val="clear" w:color="auto" w:fill="F8F8FA"/>
        </w:rPr>
        <w:t>control_</w:t>
      </w:r>
      <w:proofErr w:type="gramStart"/>
      <w:r>
        <w:rPr>
          <w:rStyle w:val="VerbatimChar"/>
          <w:rFonts w:ascii="menlo" w:eastAsia="menlo" w:hAnsi="menlo" w:cs="menlo"/>
          <w:color w:val="000000"/>
          <w:sz w:val="18"/>
          <w:shd w:val="clear" w:color="auto" w:fill="F8F8FA"/>
        </w:rPr>
        <w:t>id}/{</w:t>
      </w:r>
      <w:proofErr w:type="gramEnd"/>
      <w:r>
        <w:rPr>
          <w:rStyle w:val="VerbatimChar"/>
          <w:rFonts w:ascii="menlo" w:eastAsia="menlo" w:hAnsi="menlo" w:cs="menlo"/>
          <w:color w:val="000000"/>
          <w:sz w:val="18"/>
          <w:shd w:val="clear" w:color="auto" w:fill="F8F8FA"/>
        </w:rPr>
        <w:t>artifact_</w:t>
      </w:r>
      <w:proofErr w:type="gramStart"/>
      <w:r>
        <w:rPr>
          <w:rStyle w:val="VerbatimChar"/>
          <w:rFonts w:ascii="menlo" w:eastAsia="menlo" w:hAnsi="menlo" w:cs="menlo"/>
          <w:color w:val="000000"/>
          <w:sz w:val="18"/>
          <w:shd w:val="clear" w:color="auto" w:fill="F8F8FA"/>
        </w:rPr>
        <w:t>id}/v{</w:t>
      </w:r>
      <w:proofErr w:type="gramEnd"/>
      <w:r>
        <w:rPr>
          <w:rStyle w:val="VerbatimChar"/>
          <w:rFonts w:ascii="menlo" w:eastAsia="menlo" w:hAnsi="menlo" w:cs="menlo"/>
          <w:color w:val="000000"/>
          <w:sz w:val="18"/>
          <w:shd w:val="clear" w:color="auto" w:fill="F8F8FA"/>
        </w:rPr>
        <w:t>version_</w:t>
      </w:r>
      <w:proofErr w:type="gramStart"/>
      <w:r>
        <w:rPr>
          <w:rStyle w:val="VerbatimChar"/>
          <w:rFonts w:ascii="menlo" w:eastAsia="menlo" w:hAnsi="menlo" w:cs="menlo"/>
          <w:color w:val="000000"/>
          <w:sz w:val="18"/>
          <w:shd w:val="clear" w:color="auto" w:fill="F8F8FA"/>
        </w:rPr>
        <w:t>number}/{</w:t>
      </w:r>
      <w:proofErr w:type="gramEnd"/>
      <w:r>
        <w:rPr>
          <w:rStyle w:val="VerbatimChar"/>
          <w:rFonts w:ascii="menlo" w:eastAsia="menlo" w:hAnsi="menlo" w:cs="menlo"/>
          <w:color w:val="000000"/>
          <w:sz w:val="18"/>
          <w:shd w:val="clear" w:color="auto" w:fill="F8F8FA"/>
        </w:rPr>
        <w:t>original_file_name}</w:t>
      </w:r>
    </w:p>
    <w:p w14:paraId="5DDEC121" w14:textId="77777777" w:rsidR="00A9527C" w:rsidRDefault="00000000">
      <w:pPr>
        <w:spacing w:after="210" w:line="360" w:lineRule="auto"/>
      </w:pPr>
      <w:r>
        <w:rPr>
          <w:rFonts w:ascii="source serif 4" w:eastAsia="source serif 4" w:hAnsi="source serif 4" w:cs="source serif 4"/>
          <w:color w:val="000000"/>
        </w:rPr>
        <w:t>This structure preserves discoverability by control and artifact while making it easy to retain prior versions and archived objects.</w:t>
      </w:r>
    </w:p>
    <w:p w14:paraId="5DDEC122" w14:textId="77777777" w:rsidR="00A9527C" w:rsidRDefault="00000000">
      <w:pPr>
        <w:spacing w:before="315" w:after="105" w:line="360" w:lineRule="auto"/>
        <w:ind w:left="-30"/>
      </w:pPr>
      <w:bookmarkStart w:id="15" w:name="audit_and_compliance_logging"/>
      <w:r>
        <w:rPr>
          <w:rFonts w:ascii="source serif 4" w:eastAsia="source serif 4" w:hAnsi="source serif 4" w:cs="source serif 4"/>
          <w:b/>
          <w:color w:val="000000"/>
          <w:sz w:val="24"/>
        </w:rPr>
        <w:t>Audit and compliance logging</w:t>
      </w:r>
      <w:bookmarkEnd w:id="15"/>
    </w:p>
    <w:p w14:paraId="5DDEC123" w14:textId="77777777" w:rsidR="00A9527C" w:rsidRDefault="00000000">
      <w:pPr>
        <w:spacing w:after="210" w:line="360" w:lineRule="auto"/>
      </w:pPr>
      <w:r>
        <w:rPr>
          <w:rFonts w:ascii="source serif 4" w:eastAsia="source serif 4" w:hAnsi="source serif 4" w:cs="source serif 4"/>
          <w:color w:val="000000"/>
        </w:rPr>
        <w:t>The application should maintain a durable audit log in D1 for all high-value events. At minimum, log the following:</w:t>
      </w:r>
    </w:p>
    <w:p w14:paraId="5DDEC124"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Login and first-time user mapping.</w:t>
      </w:r>
    </w:p>
    <w:p w14:paraId="5DDEC125"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Status changes.</w:t>
      </w:r>
    </w:p>
    <w:p w14:paraId="5DDEC126"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Note creation and edit events.</w:t>
      </w:r>
    </w:p>
    <w:p w14:paraId="5DDEC127"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Artifact uploads.</w:t>
      </w:r>
    </w:p>
    <w:p w14:paraId="5DDEC128"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Artifact downloads.</w:t>
      </w:r>
    </w:p>
    <w:p w14:paraId="5DDEC129"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Export actions.</w:t>
      </w:r>
    </w:p>
    <w:p w14:paraId="5DDEC12A"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Role assignment changes.</w:t>
      </w:r>
    </w:p>
    <w:p w14:paraId="5DDEC12B"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Archive/delete actions.</w:t>
      </w:r>
    </w:p>
    <w:p w14:paraId="5DDEC12C" w14:textId="77777777" w:rsidR="00A9527C" w:rsidRDefault="00000000">
      <w:pPr>
        <w:numPr>
          <w:ilvl w:val="0"/>
          <w:numId w:val="7"/>
        </w:numPr>
        <w:spacing w:before="105" w:after="105" w:line="360" w:lineRule="auto"/>
      </w:pPr>
      <w:r>
        <w:rPr>
          <w:rFonts w:ascii="source serif 4" w:eastAsia="source serif 4" w:hAnsi="source serif 4" w:cs="source serif 4"/>
          <w:color w:val="000000"/>
        </w:rPr>
        <w:t>Access-denied or policy-rejected actions.</w:t>
      </w:r>
    </w:p>
    <w:p w14:paraId="5DDEC12D" w14:textId="77777777" w:rsidR="00A9527C" w:rsidRDefault="00000000">
      <w:pPr>
        <w:spacing w:after="210" w:line="360" w:lineRule="auto"/>
      </w:pPr>
      <w:r>
        <w:rPr>
          <w:rFonts w:ascii="source serif 4" w:eastAsia="source serif 4" w:hAnsi="source serif 4" w:cs="source serif 4"/>
          <w:color w:val="000000"/>
        </w:rPr>
        <w:t>Each log event should include timestamp, acting user, event type, target object, and structured detail data.</w:t>
      </w:r>
    </w:p>
    <w:p w14:paraId="5DDEC12E" w14:textId="77777777" w:rsidR="00A9527C" w:rsidRDefault="00000000">
      <w:pPr>
        <w:spacing w:before="315" w:after="105" w:line="360" w:lineRule="auto"/>
        <w:ind w:left="-30"/>
      </w:pPr>
      <w:bookmarkStart w:id="16" w:name="export_model"/>
      <w:r>
        <w:rPr>
          <w:rFonts w:ascii="source serif 4" w:eastAsia="source serif 4" w:hAnsi="source serif 4" w:cs="source serif 4"/>
          <w:b/>
          <w:color w:val="000000"/>
          <w:sz w:val="24"/>
        </w:rPr>
        <w:t>Export model</w:t>
      </w:r>
      <w:bookmarkEnd w:id="16"/>
    </w:p>
    <w:p w14:paraId="5DDEC12F" w14:textId="77777777" w:rsidR="00A9527C" w:rsidRDefault="00000000">
      <w:pPr>
        <w:spacing w:after="210" w:line="360" w:lineRule="auto"/>
      </w:pPr>
      <w:r>
        <w:rPr>
          <w:rFonts w:ascii="source serif 4" w:eastAsia="source serif 4" w:hAnsi="source serif 4" w:cs="source serif 4"/>
          <w:color w:val="000000"/>
        </w:rPr>
        <w:t>The application should support two export paths, both limited to the dashboard overview:</w:t>
      </w:r>
    </w:p>
    <w:p w14:paraId="5DDEC130" w14:textId="77777777" w:rsidR="00A9527C" w:rsidRDefault="00000000">
      <w:pPr>
        <w:numPr>
          <w:ilvl w:val="0"/>
          <w:numId w:val="8"/>
        </w:numPr>
        <w:spacing w:before="105" w:after="105" w:line="360" w:lineRule="auto"/>
      </w:pPr>
      <w:r>
        <w:rPr>
          <w:rFonts w:ascii="source serif 4" w:eastAsia="source serif 4" w:hAnsi="source serif 4" w:cs="source serif 4"/>
          <w:b/>
          <w:color w:val="000000"/>
        </w:rPr>
        <w:t>CSV export</w:t>
      </w:r>
      <w:r>
        <w:rPr>
          <w:rFonts w:ascii="source serif 4" w:eastAsia="source serif 4" w:hAnsi="source serif 4" w:cs="source serif 4"/>
          <w:color w:val="000000"/>
        </w:rPr>
        <w:t>: family-by-family summary including status counts, percent complete, and family health markers.</w:t>
      </w:r>
    </w:p>
    <w:p w14:paraId="5DDEC131" w14:textId="77777777" w:rsidR="00A9527C" w:rsidRDefault="00000000">
      <w:pPr>
        <w:numPr>
          <w:ilvl w:val="0"/>
          <w:numId w:val="8"/>
        </w:numPr>
        <w:spacing w:before="105" w:after="105" w:line="360" w:lineRule="auto"/>
      </w:pPr>
      <w:r>
        <w:rPr>
          <w:rFonts w:ascii="source serif 4" w:eastAsia="source serif 4" w:hAnsi="source serif 4" w:cs="source serif 4"/>
          <w:b/>
          <w:color w:val="000000"/>
        </w:rPr>
        <w:t>PDF export</w:t>
      </w:r>
      <w:r>
        <w:rPr>
          <w:rFonts w:ascii="source serif 4" w:eastAsia="source serif 4" w:hAnsi="source serif 4" w:cs="source serif 4"/>
          <w:color w:val="000000"/>
        </w:rPr>
        <w:t>: printable overview intended for leadership or program review.</w:t>
      </w:r>
    </w:p>
    <w:p w14:paraId="5DDEC132" w14:textId="77777777" w:rsidR="00A9527C" w:rsidRDefault="00000000">
      <w:pPr>
        <w:spacing w:after="210" w:line="360" w:lineRule="auto"/>
      </w:pPr>
      <w:r>
        <w:rPr>
          <w:rFonts w:ascii="source serif 4" w:eastAsia="source serif 4" w:hAnsi="source serif 4" w:cs="source serif 4"/>
          <w:color w:val="000000"/>
        </w:rPr>
        <w:t>Each export event should create an audit log record. Detailed evidence files and control-level artifact collections should not be exportable in phase 1.</w:t>
      </w:r>
    </w:p>
    <w:p w14:paraId="5DDEC133" w14:textId="77777777" w:rsidR="00A9527C" w:rsidRDefault="00000000">
      <w:pPr>
        <w:spacing w:before="315" w:after="105" w:line="360" w:lineRule="auto"/>
        <w:ind w:left="-30"/>
      </w:pPr>
      <w:bookmarkStart w:id="17" w:name="cloudflare_implementation_notes"/>
      <w:r>
        <w:rPr>
          <w:rFonts w:ascii="source serif 4" w:eastAsia="source serif 4" w:hAnsi="source serif 4" w:cs="source serif 4"/>
          <w:b/>
          <w:color w:val="000000"/>
          <w:sz w:val="24"/>
        </w:rPr>
        <w:t>Cloudflare implementation notes</w:t>
      </w:r>
      <w:bookmarkEnd w:id="17"/>
    </w:p>
    <w:p w14:paraId="5DDEC134" w14:textId="77777777" w:rsidR="00A9527C" w:rsidRDefault="00000000">
      <w:pPr>
        <w:spacing w:after="210" w:line="360" w:lineRule="auto"/>
      </w:pPr>
      <w:r>
        <w:rPr>
          <w:rFonts w:ascii="source serif 4" w:eastAsia="source serif 4" w:hAnsi="source serif 4" w:cs="source serif 4"/>
          <w:color w:val="000000"/>
        </w:rPr>
        <w:t xml:space="preserve">Cloudflare Pages supports deploying front-end applications and Pages Functions supports service bindings, which makes it practical to connect the UI to D1 and R2 through serverless </w:t>
      </w:r>
      <w:proofErr w:type="gramStart"/>
      <w:r>
        <w:rPr>
          <w:rFonts w:ascii="source serif 4" w:eastAsia="source serif 4" w:hAnsi="source serif 4" w:cs="source serif 4"/>
          <w:color w:val="000000"/>
        </w:rPr>
        <w:t>endpoints.[</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660][</w:t>
      </w:r>
      <w:proofErr w:type="gramEnd"/>
      <w:r>
        <w:rPr>
          <w:rFonts w:ascii="source serif 4" w:eastAsia="source serif 4" w:hAnsi="source serif 4" w:cs="source serif 4"/>
          <w:color w:val="000000"/>
        </w:rPr>
        <w:t>cite:661]</w:t>
      </w:r>
    </w:p>
    <w:p w14:paraId="5DDEC135" w14:textId="77777777" w:rsidR="00A9527C" w:rsidRDefault="00000000">
      <w:pPr>
        <w:spacing w:after="210" w:line="360" w:lineRule="auto"/>
      </w:pPr>
      <w:r>
        <w:rPr>
          <w:rFonts w:ascii="source serif 4" w:eastAsia="source serif 4" w:hAnsi="source serif 4" w:cs="source serif 4"/>
          <w:color w:val="000000"/>
        </w:rPr>
        <w:t xml:space="preserve">Cloudflare D1 is a managed serverless database with SQLite-style semantics, which is a strong fit for structured metadata such as controls, notes, roles, reviews, and audit </w:t>
      </w:r>
      <w:proofErr w:type="gramStart"/>
      <w:r>
        <w:rPr>
          <w:rFonts w:ascii="source serif 4" w:eastAsia="source serif 4" w:hAnsi="source serif 4" w:cs="source serif 4"/>
          <w:color w:val="000000"/>
        </w:rPr>
        <w:t>events.[</w:t>
      </w:r>
      <w:proofErr w:type="gramEnd"/>
      <w:r>
        <w:rPr>
          <w:rFonts w:ascii="source serif 4" w:eastAsia="source serif 4" w:hAnsi="source serif 4" w:cs="source serif 4"/>
          <w:color w:val="000000"/>
        </w:rPr>
        <w:t>cite:663]</w:t>
      </w:r>
    </w:p>
    <w:p w14:paraId="5DDEC136" w14:textId="77777777" w:rsidR="00A9527C" w:rsidRDefault="00000000">
      <w:pPr>
        <w:spacing w:after="210" w:line="360" w:lineRule="auto"/>
      </w:pPr>
      <w:r>
        <w:rPr>
          <w:rFonts w:ascii="source serif 4" w:eastAsia="source serif 4" w:hAnsi="source serif 4" w:cs="source serif 4"/>
          <w:color w:val="000000"/>
        </w:rPr>
        <w:t xml:space="preserve">Cloudflare Access supports external identity providers, including Microsoft Entra ID and Google, which allows the tool to remain private while still enabling organization-backed authentication and later SSO </w:t>
      </w:r>
      <w:proofErr w:type="gramStart"/>
      <w:r>
        <w:rPr>
          <w:rFonts w:ascii="source serif 4" w:eastAsia="source serif 4" w:hAnsi="source serif 4" w:cs="source serif 4"/>
          <w:color w:val="000000"/>
        </w:rPr>
        <w:t>expansion.[</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671][</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674][</w:t>
      </w:r>
      <w:proofErr w:type="gramEnd"/>
      <w:r>
        <w:rPr>
          <w:rFonts w:ascii="source serif 4" w:eastAsia="source serif 4" w:hAnsi="source serif 4" w:cs="source serif 4"/>
          <w:color w:val="000000"/>
        </w:rPr>
        <w:t>cite:669]</w:t>
      </w:r>
    </w:p>
    <w:p w14:paraId="5DDEC137" w14:textId="77777777" w:rsidR="00A9527C" w:rsidRDefault="00000000">
      <w:pPr>
        <w:spacing w:before="315" w:after="105" w:line="360" w:lineRule="auto"/>
        <w:ind w:left="-30"/>
      </w:pPr>
      <w:bookmarkStart w:id="18" w:name="recommended_repository_structure"/>
      <w:r>
        <w:rPr>
          <w:rFonts w:ascii="source serif 4" w:eastAsia="source serif 4" w:hAnsi="source serif 4" w:cs="source serif 4"/>
          <w:b/>
          <w:color w:val="000000"/>
          <w:sz w:val="24"/>
        </w:rPr>
        <w:t>Recommended repository structure</w:t>
      </w:r>
      <w:bookmarkEnd w:id="18"/>
    </w:p>
    <w:p w14:paraId="5DDEC138" w14:textId="77777777" w:rsidR="00A9527C" w:rsidRDefault="00000000">
      <w:pPr>
        <w:shd w:val="clear" w:color="auto" w:fill="F8F8FA"/>
        <w:spacing w:line="336" w:lineRule="auto"/>
      </w:pPr>
      <w:proofErr w:type="spellStart"/>
      <w:r>
        <w:rPr>
          <w:rStyle w:val="VerbatimChar"/>
          <w:rFonts w:ascii="menlo" w:eastAsia="menlo" w:hAnsi="menlo" w:cs="menlo"/>
          <w:color w:val="000000"/>
          <w:sz w:val="18"/>
        </w:rPr>
        <w:t>cmmc</w:t>
      </w:r>
      <w:proofErr w:type="spellEnd"/>
      <w:r>
        <w:rPr>
          <w:rStyle w:val="VerbatimChar"/>
          <w:rFonts w:ascii="menlo" w:eastAsia="menlo" w:hAnsi="menlo" w:cs="menlo"/>
          <w:color w:val="000000"/>
          <w:sz w:val="18"/>
        </w:rPr>
        <w:t>-dashboard/</w:t>
      </w:r>
      <w:r>
        <w:rPr>
          <w:rStyle w:val="VerbatimChar"/>
          <w:rFonts w:ascii="menlo" w:eastAsia="menlo" w:hAnsi="menlo" w:cs="menlo"/>
          <w:color w:val="000000"/>
          <w:sz w:val="18"/>
        </w:rPr>
        <w:br/>
        <w:t>├── frontend/</w:t>
      </w:r>
      <w:r>
        <w:rPr>
          <w:rStyle w:val="VerbatimChar"/>
          <w:rFonts w:ascii="menlo" w:eastAsia="menlo" w:hAnsi="menlo" w:cs="menlo"/>
          <w:color w:val="000000"/>
          <w:sz w:val="18"/>
        </w:rPr>
        <w:br/>
        <w:t>│   ├── public/</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 package metadata if needed</w:t>
      </w:r>
      <w:r>
        <w:rPr>
          <w:rStyle w:val="VerbatimChar"/>
          <w:rFonts w:ascii="menlo" w:eastAsia="menlo" w:hAnsi="menlo" w:cs="menlo"/>
          <w:color w:val="000000"/>
          <w:sz w:val="18"/>
        </w:rPr>
        <w:br/>
        <w:t>├── worker/</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src</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 routes/</w:t>
      </w:r>
      <w:r>
        <w:rPr>
          <w:rStyle w:val="VerbatimChar"/>
          <w:rFonts w:ascii="menlo" w:eastAsia="menlo" w:hAnsi="menlo" w:cs="menlo"/>
          <w:color w:val="000000"/>
          <w:sz w:val="18"/>
        </w:rPr>
        <w:br/>
        <w:t>│   └── auth and storage services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db</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 schema.sql</w:t>
      </w:r>
      <w:r>
        <w:rPr>
          <w:rStyle w:val="VerbatimChar"/>
          <w:rFonts w:ascii="menlo" w:eastAsia="menlo" w:hAnsi="menlo" w:cs="menlo"/>
          <w:color w:val="000000"/>
          <w:sz w:val="18"/>
        </w:rPr>
        <w:br/>
        <w:t>│   └── seed scripts</w:t>
      </w:r>
      <w:r>
        <w:rPr>
          <w:rStyle w:val="VerbatimChar"/>
          <w:rFonts w:ascii="menlo" w:eastAsia="menlo" w:hAnsi="menlo" w:cs="menlo"/>
          <w:color w:val="000000"/>
          <w:sz w:val="18"/>
        </w:rPr>
        <w:br/>
        <w:t>├── docs/</w:t>
      </w:r>
      <w:r>
        <w:rPr>
          <w:rStyle w:val="VerbatimChar"/>
          <w:rFonts w:ascii="menlo" w:eastAsia="menlo" w:hAnsi="menlo" w:cs="menlo"/>
          <w:color w:val="000000"/>
          <w:sz w:val="18"/>
        </w:rPr>
        <w:br/>
        <w:t>│   └── architecture.md</w:t>
      </w:r>
      <w:r>
        <w:rPr>
          <w:rStyle w:val="VerbatimChar"/>
          <w:rFonts w:ascii="menlo" w:eastAsia="menlo" w:hAnsi="menlo" w:cs="menlo"/>
          <w:color w:val="000000"/>
          <w:sz w:val="18"/>
        </w:rPr>
        <w:br/>
        <w:t>└── wrangler configuration</w:t>
      </w:r>
      <w:r>
        <w:rPr>
          <w:rStyle w:val="VerbatimChar"/>
          <w:rFonts w:ascii="menlo" w:eastAsia="menlo" w:hAnsi="menlo" w:cs="menlo"/>
          <w:color w:val="000000"/>
          <w:sz w:val="18"/>
        </w:rPr>
        <w:br/>
      </w:r>
    </w:p>
    <w:p w14:paraId="5DDEC139" w14:textId="77777777" w:rsidR="00A9527C" w:rsidRDefault="00000000">
      <w:pPr>
        <w:spacing w:after="210" w:line="360" w:lineRule="auto"/>
      </w:pPr>
      <w:r>
        <w:rPr>
          <w:rFonts w:ascii="source serif 4" w:eastAsia="source serif 4" w:hAnsi="source serif 4" w:cs="source serif 4"/>
          <w:color w:val="000000"/>
        </w:rPr>
        <w:t>This structure keeps the front end, worker logic, database schema, and documentation clearly separated for Git-based collaboration and Cloudflare deployment.</w:t>
      </w:r>
    </w:p>
    <w:p w14:paraId="5DDEC13A" w14:textId="77777777" w:rsidR="00A9527C" w:rsidRDefault="00000000">
      <w:pPr>
        <w:spacing w:before="315" w:after="105" w:line="360" w:lineRule="auto"/>
        <w:ind w:left="-30"/>
      </w:pPr>
      <w:bookmarkStart w:id="19" w:name="phase_1_api_surface"/>
      <w:r>
        <w:rPr>
          <w:rFonts w:ascii="source serif 4" w:eastAsia="source serif 4" w:hAnsi="source serif 4" w:cs="source serif 4"/>
          <w:b/>
          <w:color w:val="000000"/>
          <w:sz w:val="24"/>
        </w:rPr>
        <w:t>Phase 1 API surface</w:t>
      </w:r>
      <w:bookmarkEnd w:id="19"/>
    </w:p>
    <w:p w14:paraId="5DDEC13B" w14:textId="77777777" w:rsidR="00A9527C" w:rsidRDefault="00000000">
      <w:pPr>
        <w:spacing w:after="210" w:line="360" w:lineRule="auto"/>
      </w:pPr>
      <w:r>
        <w:rPr>
          <w:rFonts w:ascii="source serif 4" w:eastAsia="source serif 4" w:hAnsi="source serif 4" w:cs="source serif 4"/>
          <w:color w:val="000000"/>
        </w:rPr>
        <w:t>Recommended first endpoints:</w:t>
      </w:r>
    </w:p>
    <w:p w14:paraId="5DDEC13C"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GET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/dashboard/overview</w:t>
      </w:r>
    </w:p>
    <w:p w14:paraId="5DDEC13D"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GET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/families</w:t>
      </w:r>
    </w:p>
    <w:p w14:paraId="5DDEC13E"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GET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/families</w:t>
      </w:r>
      <w:proofErr w:type="gramStart"/>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familyCode</w:t>
      </w:r>
      <w:proofErr w:type="spellEnd"/>
      <w:proofErr w:type="gramEnd"/>
    </w:p>
    <w:p w14:paraId="5DDEC13F"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GET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/controls</w:t>
      </w:r>
      <w:proofErr w:type="gramStart"/>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controlId</w:t>
      </w:r>
      <w:proofErr w:type="spellEnd"/>
      <w:proofErr w:type="gramEnd"/>
    </w:p>
    <w:p w14:paraId="5DDEC140"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PATCH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/controls</w:t>
      </w:r>
      <w:proofErr w:type="gramStart"/>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controlId</w:t>
      </w:r>
      <w:proofErr w:type="spellEnd"/>
      <w:proofErr w:type="gramEnd"/>
    </w:p>
    <w:p w14:paraId="5DDEC141"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GET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/controls</w:t>
      </w:r>
      <w:proofErr w:type="gramStart"/>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controlId</w:t>
      </w:r>
      <w:proofErr w:type="spellEnd"/>
      <w:proofErr w:type="gramEnd"/>
      <w:r>
        <w:rPr>
          <w:rStyle w:val="VerbatimChar"/>
          <w:rFonts w:ascii="menlo" w:eastAsia="menlo" w:hAnsi="menlo" w:cs="menlo"/>
          <w:color w:val="000000"/>
          <w:sz w:val="18"/>
          <w:shd w:val="clear" w:color="auto" w:fill="F8F8FA"/>
        </w:rPr>
        <w:t>/artifacts</w:t>
      </w:r>
    </w:p>
    <w:p w14:paraId="5DDEC142"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POST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/controls</w:t>
      </w:r>
      <w:proofErr w:type="gramStart"/>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controlId</w:t>
      </w:r>
      <w:proofErr w:type="spellEnd"/>
      <w:proofErr w:type="gramEnd"/>
      <w:r>
        <w:rPr>
          <w:rStyle w:val="VerbatimChar"/>
          <w:rFonts w:ascii="menlo" w:eastAsia="menlo" w:hAnsi="menlo" w:cs="menlo"/>
          <w:color w:val="000000"/>
          <w:sz w:val="18"/>
          <w:shd w:val="clear" w:color="auto" w:fill="F8F8FA"/>
        </w:rPr>
        <w:t>/artifacts</w:t>
      </w:r>
    </w:p>
    <w:p w14:paraId="5DDEC143"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POST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/artifacts</w:t>
      </w:r>
      <w:proofErr w:type="gramStart"/>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artifactId</w:t>
      </w:r>
      <w:proofErr w:type="spellEnd"/>
      <w:proofErr w:type="gramEnd"/>
      <w:r>
        <w:rPr>
          <w:rStyle w:val="VerbatimChar"/>
          <w:rFonts w:ascii="menlo" w:eastAsia="menlo" w:hAnsi="menlo" w:cs="menlo"/>
          <w:color w:val="000000"/>
          <w:sz w:val="18"/>
          <w:shd w:val="clear" w:color="auto" w:fill="F8F8FA"/>
        </w:rPr>
        <w:t>/versions</w:t>
      </w:r>
    </w:p>
    <w:p w14:paraId="5DDEC144"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POST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/artifacts</w:t>
      </w:r>
      <w:proofErr w:type="gramStart"/>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artifactId</w:t>
      </w:r>
      <w:proofErr w:type="spellEnd"/>
      <w:proofErr w:type="gramEnd"/>
      <w:r>
        <w:rPr>
          <w:rStyle w:val="VerbatimChar"/>
          <w:rFonts w:ascii="menlo" w:eastAsia="menlo" w:hAnsi="menlo" w:cs="menlo"/>
          <w:color w:val="000000"/>
          <w:sz w:val="18"/>
          <w:shd w:val="clear" w:color="auto" w:fill="F8F8FA"/>
        </w:rPr>
        <w:t>/archive</w:t>
      </w:r>
    </w:p>
    <w:p w14:paraId="5DDEC145"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GET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/dashboard/export.csv</w:t>
      </w:r>
    </w:p>
    <w:p w14:paraId="5DDEC146" w14:textId="77777777" w:rsidR="00A9527C"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GET /</w:t>
      </w:r>
      <w:proofErr w:type="spellStart"/>
      <w:r>
        <w:rPr>
          <w:rStyle w:val="VerbatimChar"/>
          <w:rFonts w:ascii="menlo" w:eastAsia="menlo" w:hAnsi="menlo" w:cs="menlo"/>
          <w:color w:val="000000"/>
          <w:sz w:val="18"/>
          <w:shd w:val="clear" w:color="auto" w:fill="F8F8FA"/>
        </w:rPr>
        <w:t>api</w:t>
      </w:r>
      <w:proofErr w:type="spellEnd"/>
      <w:r>
        <w:rPr>
          <w:rStyle w:val="VerbatimChar"/>
          <w:rFonts w:ascii="menlo" w:eastAsia="menlo" w:hAnsi="menlo" w:cs="menlo"/>
          <w:color w:val="000000"/>
          <w:sz w:val="18"/>
          <w:shd w:val="clear" w:color="auto" w:fill="F8F8FA"/>
        </w:rPr>
        <w:t>/dashboard/</w:t>
      </w:r>
      <w:proofErr w:type="spellStart"/>
      <w:r>
        <w:rPr>
          <w:rStyle w:val="VerbatimChar"/>
          <w:rFonts w:ascii="menlo" w:eastAsia="menlo" w:hAnsi="menlo" w:cs="menlo"/>
          <w:color w:val="000000"/>
          <w:sz w:val="18"/>
          <w:shd w:val="clear" w:color="auto" w:fill="F8F8FA"/>
        </w:rPr>
        <w:t>export.print</w:t>
      </w:r>
      <w:proofErr w:type="spellEnd"/>
    </w:p>
    <w:p w14:paraId="5DDEC147" w14:textId="77777777" w:rsidR="00A9527C" w:rsidRDefault="00000000">
      <w:pPr>
        <w:spacing w:after="210" w:line="360" w:lineRule="auto"/>
      </w:pPr>
      <w:r>
        <w:rPr>
          <w:rFonts w:ascii="source serif 4" w:eastAsia="source serif 4" w:hAnsi="source serif 4" w:cs="source serif 4"/>
          <w:color w:val="000000"/>
        </w:rPr>
        <w:t xml:space="preserve">These endpoints are sufficient to stand up a working internal v1 without </w:t>
      </w:r>
      <w:proofErr w:type="gramStart"/>
      <w:r>
        <w:rPr>
          <w:rFonts w:ascii="source serif 4" w:eastAsia="source serif 4" w:hAnsi="source serif 4" w:cs="source serif 4"/>
          <w:color w:val="000000"/>
        </w:rPr>
        <w:t>overcommitting to</w:t>
      </w:r>
      <w:proofErr w:type="gramEnd"/>
      <w:r>
        <w:rPr>
          <w:rFonts w:ascii="source serif 4" w:eastAsia="source serif 4" w:hAnsi="source serif 4" w:cs="source serif 4"/>
          <w:color w:val="000000"/>
        </w:rPr>
        <w:t xml:space="preserve"> advanced features too early.</w:t>
      </w:r>
    </w:p>
    <w:p w14:paraId="5DDEC148" w14:textId="77777777" w:rsidR="00A9527C" w:rsidRDefault="00000000">
      <w:pPr>
        <w:spacing w:before="315" w:after="105" w:line="360" w:lineRule="auto"/>
        <w:ind w:left="-30"/>
      </w:pPr>
      <w:bookmarkStart w:id="20" w:name="phase_1_decisions_already_fixed"/>
      <w:r>
        <w:rPr>
          <w:rFonts w:ascii="source serif 4" w:eastAsia="source serif 4" w:hAnsi="source serif 4" w:cs="source serif 4"/>
          <w:b/>
          <w:color w:val="000000"/>
          <w:sz w:val="24"/>
        </w:rPr>
        <w:t>Phase 1 decisions already fixed</w:t>
      </w:r>
      <w:bookmarkEnd w:id="20"/>
    </w:p>
    <w:p w14:paraId="5DDEC149" w14:textId="77777777" w:rsidR="00A9527C" w:rsidRDefault="00000000">
      <w:pPr>
        <w:spacing w:after="210" w:line="360" w:lineRule="auto"/>
      </w:pPr>
      <w:r>
        <w:rPr>
          <w:rFonts w:ascii="source serif 4" w:eastAsia="source serif 4" w:hAnsi="source serif 4" w:cs="source serif 4"/>
          <w:color w:val="000000"/>
        </w:rPr>
        <w:t>The following decisions are assumed in the v1 design:</w:t>
      </w:r>
    </w:p>
    <w:p w14:paraId="5DDEC14A"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Internal tool, private by default.</w:t>
      </w:r>
    </w:p>
    <w:p w14:paraId="5DDEC14B"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Cloudflare hosting.</w:t>
      </w:r>
    </w:p>
    <w:p w14:paraId="5DDEC14C"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D1 for structured data.</w:t>
      </w:r>
    </w:p>
    <w:p w14:paraId="5DDEC14D"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 xml:space="preserve">R2 for active and archived artifact </w:t>
      </w:r>
      <w:proofErr w:type="gramStart"/>
      <w:r>
        <w:rPr>
          <w:rFonts w:ascii="source serif 4" w:eastAsia="source serif 4" w:hAnsi="source serif 4" w:cs="source serif 4"/>
          <w:color w:val="000000"/>
        </w:rPr>
        <w:t>storage.[</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663][</w:t>
      </w:r>
      <w:proofErr w:type="gramEnd"/>
      <w:r>
        <w:rPr>
          <w:rFonts w:ascii="source serif 4" w:eastAsia="source serif 4" w:hAnsi="source serif 4" w:cs="source serif 4"/>
          <w:color w:val="000000"/>
        </w:rPr>
        <w:t>cite:664]</w:t>
      </w:r>
    </w:p>
    <w:p w14:paraId="5DDEC14E"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 xml:space="preserve">Authentication required from day one via Cloudflare </w:t>
      </w:r>
      <w:proofErr w:type="gramStart"/>
      <w:r>
        <w:rPr>
          <w:rFonts w:ascii="source serif 4" w:eastAsia="source serif 4" w:hAnsi="source serif 4" w:cs="source serif 4"/>
          <w:color w:val="000000"/>
        </w:rPr>
        <w:t>Access.[</w:t>
      </w:r>
      <w:proofErr w:type="gramEnd"/>
      <w:r>
        <w:rPr>
          <w:rFonts w:ascii="source serif 4" w:eastAsia="source serif 4" w:hAnsi="source serif 4" w:cs="source serif 4"/>
          <w:color w:val="000000"/>
        </w:rPr>
        <w:t>cite:671]</w:t>
      </w:r>
    </w:p>
    <w:p w14:paraId="5DDEC14F"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 xml:space="preserve">Microsoft Entra ID and Google planned as identity </w:t>
      </w:r>
      <w:proofErr w:type="gramStart"/>
      <w:r>
        <w:rPr>
          <w:rFonts w:ascii="source serif 4" w:eastAsia="source serif 4" w:hAnsi="source serif 4" w:cs="source serif 4"/>
          <w:color w:val="000000"/>
        </w:rPr>
        <w:t>providers.[</w:t>
      </w:r>
      <w:proofErr w:type="gramEnd"/>
      <w:r>
        <w:rPr>
          <w:rFonts w:ascii="source serif 4" w:eastAsia="source serif 4" w:hAnsi="source serif 4" w:cs="source serif 4"/>
          <w:color w:val="000000"/>
        </w:rPr>
        <w:t>cite:</w:t>
      </w:r>
      <w:proofErr w:type="gramStart"/>
      <w:r>
        <w:rPr>
          <w:rFonts w:ascii="source serif 4" w:eastAsia="source serif 4" w:hAnsi="source serif 4" w:cs="source serif 4"/>
          <w:color w:val="000000"/>
        </w:rPr>
        <w:t>674][</w:t>
      </w:r>
      <w:proofErr w:type="gramEnd"/>
      <w:r>
        <w:rPr>
          <w:rFonts w:ascii="source serif 4" w:eastAsia="source serif 4" w:hAnsi="source serif 4" w:cs="source serif 4"/>
          <w:color w:val="000000"/>
        </w:rPr>
        <w:t>cite:669]</w:t>
      </w:r>
    </w:p>
    <w:p w14:paraId="5DDEC150"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Official CMMC family/control taxonomy loaded into the system.</w:t>
      </w:r>
    </w:p>
    <w:p w14:paraId="5DDEC151"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Editable notes and explanatory text per control.</w:t>
      </w:r>
    </w:p>
    <w:p w14:paraId="5DDEC152"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 xml:space="preserve">Artifact versions </w:t>
      </w:r>
      <w:proofErr w:type="gramStart"/>
      <w:r>
        <w:rPr>
          <w:rFonts w:ascii="source serif 4" w:eastAsia="source serif 4" w:hAnsi="source serif 4" w:cs="source serif 4"/>
          <w:color w:val="000000"/>
        </w:rPr>
        <w:t>retained</w:t>
      </w:r>
      <w:proofErr w:type="gramEnd"/>
      <w:r>
        <w:rPr>
          <w:rFonts w:ascii="source serif 4" w:eastAsia="source serif 4" w:hAnsi="source serif 4" w:cs="source serif 4"/>
          <w:color w:val="000000"/>
        </w:rPr>
        <w:t xml:space="preserve"> indefinitely unless lifecycle policy is introduced later.</w:t>
      </w:r>
    </w:p>
    <w:p w14:paraId="5DDEC153"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Dashboard-only CSV/PDF export.</w:t>
      </w:r>
    </w:p>
    <w:p w14:paraId="5DDEC154" w14:textId="77777777" w:rsidR="00A9527C" w:rsidRDefault="00000000">
      <w:pPr>
        <w:numPr>
          <w:ilvl w:val="0"/>
          <w:numId w:val="10"/>
        </w:numPr>
        <w:spacing w:before="105" w:after="105" w:line="360" w:lineRule="auto"/>
      </w:pPr>
      <w:r>
        <w:rPr>
          <w:rFonts w:ascii="source serif 4" w:eastAsia="source serif 4" w:hAnsi="source serif 4" w:cs="source serif 4"/>
          <w:color w:val="000000"/>
        </w:rPr>
        <w:t>Warning and acknowledgement on artifact upload for prohibited sensitive data.</w:t>
      </w:r>
    </w:p>
    <w:p w14:paraId="5DDEC155" w14:textId="77777777" w:rsidR="00A9527C" w:rsidRDefault="00000000">
      <w:pPr>
        <w:spacing w:before="315" w:after="105" w:line="360" w:lineRule="auto"/>
        <w:ind w:left="-30"/>
      </w:pPr>
      <w:bookmarkStart w:id="21" w:name="next_implementation_package"/>
      <w:r>
        <w:rPr>
          <w:rFonts w:ascii="source serif 4" w:eastAsia="source serif 4" w:hAnsi="source serif 4" w:cs="source serif 4"/>
          <w:b/>
          <w:color w:val="000000"/>
          <w:sz w:val="24"/>
        </w:rPr>
        <w:t>Next implementation package</w:t>
      </w:r>
      <w:bookmarkEnd w:id="21"/>
    </w:p>
    <w:p w14:paraId="5DDEC156" w14:textId="77777777" w:rsidR="00A9527C" w:rsidRDefault="00000000">
      <w:pPr>
        <w:spacing w:after="210" w:line="360" w:lineRule="auto"/>
      </w:pPr>
      <w:r>
        <w:rPr>
          <w:rFonts w:ascii="source serif 4" w:eastAsia="source serif 4" w:hAnsi="source serif 4" w:cs="source serif 4"/>
          <w:color w:val="000000"/>
        </w:rPr>
        <w:t>The next delivery after this architecture document should be:</w:t>
      </w:r>
    </w:p>
    <w:p w14:paraId="5DDEC157" w14:textId="77777777" w:rsidR="00A9527C" w:rsidRDefault="00000000">
      <w:pPr>
        <w:numPr>
          <w:ilvl w:val="0"/>
          <w:numId w:val="11"/>
        </w:numPr>
        <w:spacing w:before="105" w:after="105" w:line="360" w:lineRule="auto"/>
      </w:pPr>
      <w:r>
        <w:rPr>
          <w:rFonts w:ascii="source serif 4" w:eastAsia="source serif 4" w:hAnsi="source serif 4" w:cs="source serif 4"/>
          <w:color w:val="000000"/>
        </w:rPr>
        <w:t>D1 schema SQL.</w:t>
      </w:r>
    </w:p>
    <w:p w14:paraId="5DDEC158" w14:textId="77777777" w:rsidR="00A9527C" w:rsidRDefault="00000000">
      <w:pPr>
        <w:numPr>
          <w:ilvl w:val="0"/>
          <w:numId w:val="11"/>
        </w:numPr>
        <w:spacing w:before="105" w:after="105" w:line="360" w:lineRule="auto"/>
      </w:pPr>
      <w:r>
        <w:rPr>
          <w:rFonts w:ascii="source serif 4" w:eastAsia="source serif 4" w:hAnsi="source serif 4" w:cs="source serif 4"/>
          <w:color w:val="000000"/>
        </w:rPr>
        <w:t>Seed import plan for the official control taxonomy from the provided workbook.</w:t>
      </w:r>
    </w:p>
    <w:p w14:paraId="5DDEC159" w14:textId="77777777" w:rsidR="00A9527C" w:rsidRDefault="00000000">
      <w:pPr>
        <w:numPr>
          <w:ilvl w:val="0"/>
          <w:numId w:val="11"/>
        </w:numPr>
        <w:spacing w:before="105" w:after="105" w:line="360" w:lineRule="auto"/>
      </w:pPr>
      <w:r>
        <w:rPr>
          <w:rFonts w:ascii="source serif 4" w:eastAsia="source serif 4" w:hAnsi="source serif 4" w:cs="source serif 4"/>
          <w:color w:val="000000"/>
        </w:rPr>
        <w:t>Worker route skeleton for authentication-aware CRUD operations.</w:t>
      </w:r>
    </w:p>
    <w:p w14:paraId="5DDEC15A" w14:textId="77777777" w:rsidR="00A9527C" w:rsidRDefault="00000000">
      <w:pPr>
        <w:numPr>
          <w:ilvl w:val="0"/>
          <w:numId w:val="11"/>
        </w:numPr>
        <w:spacing w:before="105" w:after="105" w:line="360" w:lineRule="auto"/>
      </w:pPr>
      <w:r>
        <w:rPr>
          <w:rFonts w:ascii="source serif 4" w:eastAsia="source serif 4" w:hAnsi="source serif 4" w:cs="source serif 4"/>
          <w:color w:val="000000"/>
        </w:rPr>
        <w:t>Front-end wireframe or starter app shell for dashboard and control detail views.</w:t>
      </w:r>
    </w:p>
    <w:sectPr w:rsidR="00A9527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644"/>
    <w:multiLevelType w:val="hybridMultilevel"/>
    <w:tmpl w:val="698EC60E"/>
    <w:lvl w:ilvl="0" w:tplc="B6601B28">
      <w:start w:val="1"/>
      <w:numFmt w:val="bullet"/>
      <w:lvlText w:val=""/>
      <w:lvlJc w:val="left"/>
      <w:pPr>
        <w:tabs>
          <w:tab w:val="num" w:pos="900"/>
        </w:tabs>
        <w:ind w:left="540" w:hanging="360"/>
      </w:pPr>
      <w:rPr>
        <w:rFonts w:ascii="Symbol" w:hAnsi="Symbol" w:hint="default"/>
      </w:rPr>
    </w:lvl>
    <w:lvl w:ilvl="1" w:tplc="1E18CE1A">
      <w:numFmt w:val="decimal"/>
      <w:lvlText w:val=""/>
      <w:lvlJc w:val="left"/>
    </w:lvl>
    <w:lvl w:ilvl="2" w:tplc="628ADE22">
      <w:numFmt w:val="decimal"/>
      <w:lvlText w:val=""/>
      <w:lvlJc w:val="left"/>
    </w:lvl>
    <w:lvl w:ilvl="3" w:tplc="68502E1A">
      <w:numFmt w:val="decimal"/>
      <w:lvlText w:val=""/>
      <w:lvlJc w:val="left"/>
    </w:lvl>
    <w:lvl w:ilvl="4" w:tplc="11542E70">
      <w:numFmt w:val="decimal"/>
      <w:lvlText w:val=""/>
      <w:lvlJc w:val="left"/>
    </w:lvl>
    <w:lvl w:ilvl="5" w:tplc="03563B34">
      <w:numFmt w:val="decimal"/>
      <w:lvlText w:val=""/>
      <w:lvlJc w:val="left"/>
    </w:lvl>
    <w:lvl w:ilvl="6" w:tplc="9CFE3C90">
      <w:numFmt w:val="decimal"/>
      <w:lvlText w:val=""/>
      <w:lvlJc w:val="left"/>
    </w:lvl>
    <w:lvl w:ilvl="7" w:tplc="B712E62E">
      <w:numFmt w:val="decimal"/>
      <w:lvlText w:val=""/>
      <w:lvlJc w:val="left"/>
    </w:lvl>
    <w:lvl w:ilvl="8" w:tplc="F6BC4CB8">
      <w:numFmt w:val="decimal"/>
      <w:lvlText w:val=""/>
      <w:lvlJc w:val="left"/>
    </w:lvl>
  </w:abstractNum>
  <w:abstractNum w:abstractNumId="1" w15:restartNumberingAfterBreak="0">
    <w:nsid w:val="10454EAA"/>
    <w:multiLevelType w:val="hybridMultilevel"/>
    <w:tmpl w:val="2E587010"/>
    <w:lvl w:ilvl="0" w:tplc="9FE20ADA">
      <w:start w:val="1"/>
      <w:numFmt w:val="decimal"/>
      <w:lvlText w:val="%1."/>
      <w:lvlJc w:val="left"/>
      <w:pPr>
        <w:tabs>
          <w:tab w:val="num" w:pos="900"/>
        </w:tabs>
        <w:ind w:left="540" w:hanging="360"/>
      </w:pPr>
    </w:lvl>
    <w:lvl w:ilvl="1" w:tplc="B93E3984">
      <w:numFmt w:val="decimal"/>
      <w:lvlText w:val=""/>
      <w:lvlJc w:val="left"/>
    </w:lvl>
    <w:lvl w:ilvl="2" w:tplc="E4C64536">
      <w:numFmt w:val="decimal"/>
      <w:lvlText w:val=""/>
      <w:lvlJc w:val="left"/>
    </w:lvl>
    <w:lvl w:ilvl="3" w:tplc="A45A9B94">
      <w:numFmt w:val="decimal"/>
      <w:lvlText w:val=""/>
      <w:lvlJc w:val="left"/>
    </w:lvl>
    <w:lvl w:ilvl="4" w:tplc="1EFC1D5E">
      <w:numFmt w:val="decimal"/>
      <w:lvlText w:val=""/>
      <w:lvlJc w:val="left"/>
    </w:lvl>
    <w:lvl w:ilvl="5" w:tplc="F5DEE676">
      <w:numFmt w:val="decimal"/>
      <w:lvlText w:val=""/>
      <w:lvlJc w:val="left"/>
    </w:lvl>
    <w:lvl w:ilvl="6" w:tplc="CDA2358A">
      <w:numFmt w:val="decimal"/>
      <w:lvlText w:val=""/>
      <w:lvlJc w:val="left"/>
    </w:lvl>
    <w:lvl w:ilvl="7" w:tplc="4C222C92">
      <w:numFmt w:val="decimal"/>
      <w:lvlText w:val=""/>
      <w:lvlJc w:val="left"/>
    </w:lvl>
    <w:lvl w:ilvl="8" w:tplc="6160FCAE">
      <w:numFmt w:val="decimal"/>
      <w:lvlText w:val=""/>
      <w:lvlJc w:val="left"/>
    </w:lvl>
  </w:abstractNum>
  <w:abstractNum w:abstractNumId="2" w15:restartNumberingAfterBreak="0">
    <w:nsid w:val="19D0799A"/>
    <w:multiLevelType w:val="hybridMultilevel"/>
    <w:tmpl w:val="AF8C3FA4"/>
    <w:lvl w:ilvl="0" w:tplc="CF38487E">
      <w:start w:val="1"/>
      <w:numFmt w:val="decimal"/>
      <w:lvlText w:val="%1."/>
      <w:lvlJc w:val="left"/>
      <w:pPr>
        <w:tabs>
          <w:tab w:val="num" w:pos="900"/>
        </w:tabs>
        <w:ind w:left="540" w:hanging="360"/>
      </w:pPr>
    </w:lvl>
    <w:lvl w:ilvl="1" w:tplc="80A8549E">
      <w:numFmt w:val="decimal"/>
      <w:lvlText w:val=""/>
      <w:lvlJc w:val="left"/>
    </w:lvl>
    <w:lvl w:ilvl="2" w:tplc="8C74E548">
      <w:numFmt w:val="decimal"/>
      <w:lvlText w:val=""/>
      <w:lvlJc w:val="left"/>
    </w:lvl>
    <w:lvl w:ilvl="3" w:tplc="9028E87E">
      <w:numFmt w:val="decimal"/>
      <w:lvlText w:val=""/>
      <w:lvlJc w:val="left"/>
    </w:lvl>
    <w:lvl w:ilvl="4" w:tplc="D8CC9DD6">
      <w:numFmt w:val="decimal"/>
      <w:lvlText w:val=""/>
      <w:lvlJc w:val="left"/>
    </w:lvl>
    <w:lvl w:ilvl="5" w:tplc="AB1E0DE2">
      <w:numFmt w:val="decimal"/>
      <w:lvlText w:val=""/>
      <w:lvlJc w:val="left"/>
    </w:lvl>
    <w:lvl w:ilvl="6" w:tplc="EE8E6D86">
      <w:numFmt w:val="decimal"/>
      <w:lvlText w:val=""/>
      <w:lvlJc w:val="left"/>
    </w:lvl>
    <w:lvl w:ilvl="7" w:tplc="4B322DEA">
      <w:numFmt w:val="decimal"/>
      <w:lvlText w:val=""/>
      <w:lvlJc w:val="left"/>
    </w:lvl>
    <w:lvl w:ilvl="8" w:tplc="DCFAFE50">
      <w:numFmt w:val="decimal"/>
      <w:lvlText w:val=""/>
      <w:lvlJc w:val="left"/>
    </w:lvl>
  </w:abstractNum>
  <w:abstractNum w:abstractNumId="3" w15:restartNumberingAfterBreak="0">
    <w:nsid w:val="2D985AE4"/>
    <w:multiLevelType w:val="hybridMultilevel"/>
    <w:tmpl w:val="3F12E078"/>
    <w:lvl w:ilvl="0" w:tplc="F878DD2A">
      <w:start w:val="1"/>
      <w:numFmt w:val="decimal"/>
      <w:lvlText w:val="%1."/>
      <w:lvlJc w:val="left"/>
      <w:pPr>
        <w:tabs>
          <w:tab w:val="num" w:pos="900"/>
        </w:tabs>
        <w:ind w:left="540" w:hanging="360"/>
      </w:pPr>
    </w:lvl>
    <w:lvl w:ilvl="1" w:tplc="1D023B1C">
      <w:numFmt w:val="decimal"/>
      <w:lvlText w:val=""/>
      <w:lvlJc w:val="left"/>
    </w:lvl>
    <w:lvl w:ilvl="2" w:tplc="FD3EF28E">
      <w:numFmt w:val="decimal"/>
      <w:lvlText w:val=""/>
      <w:lvlJc w:val="left"/>
    </w:lvl>
    <w:lvl w:ilvl="3" w:tplc="E0268BAC">
      <w:numFmt w:val="decimal"/>
      <w:lvlText w:val=""/>
      <w:lvlJc w:val="left"/>
    </w:lvl>
    <w:lvl w:ilvl="4" w:tplc="C5C232A8">
      <w:numFmt w:val="decimal"/>
      <w:lvlText w:val=""/>
      <w:lvlJc w:val="left"/>
    </w:lvl>
    <w:lvl w:ilvl="5" w:tplc="DA907EA0">
      <w:numFmt w:val="decimal"/>
      <w:lvlText w:val=""/>
      <w:lvlJc w:val="left"/>
    </w:lvl>
    <w:lvl w:ilvl="6" w:tplc="4A285E6C">
      <w:numFmt w:val="decimal"/>
      <w:lvlText w:val=""/>
      <w:lvlJc w:val="left"/>
    </w:lvl>
    <w:lvl w:ilvl="7" w:tplc="E208FF04">
      <w:numFmt w:val="decimal"/>
      <w:lvlText w:val=""/>
      <w:lvlJc w:val="left"/>
    </w:lvl>
    <w:lvl w:ilvl="8" w:tplc="F5348E02">
      <w:numFmt w:val="decimal"/>
      <w:lvlText w:val=""/>
      <w:lvlJc w:val="left"/>
    </w:lvl>
  </w:abstractNum>
  <w:abstractNum w:abstractNumId="4" w15:restartNumberingAfterBreak="0">
    <w:nsid w:val="32104913"/>
    <w:multiLevelType w:val="hybridMultilevel"/>
    <w:tmpl w:val="346EDA9C"/>
    <w:lvl w:ilvl="0" w:tplc="133E8896">
      <w:start w:val="1"/>
      <w:numFmt w:val="bullet"/>
      <w:lvlText w:val=""/>
      <w:lvlJc w:val="left"/>
      <w:pPr>
        <w:tabs>
          <w:tab w:val="num" w:pos="900"/>
        </w:tabs>
        <w:ind w:left="540" w:hanging="360"/>
      </w:pPr>
      <w:rPr>
        <w:rFonts w:ascii="Symbol" w:hAnsi="Symbol" w:hint="default"/>
      </w:rPr>
    </w:lvl>
    <w:lvl w:ilvl="1" w:tplc="73724026">
      <w:numFmt w:val="decimal"/>
      <w:lvlText w:val=""/>
      <w:lvlJc w:val="left"/>
    </w:lvl>
    <w:lvl w:ilvl="2" w:tplc="56D6C0CA">
      <w:numFmt w:val="decimal"/>
      <w:lvlText w:val=""/>
      <w:lvlJc w:val="left"/>
    </w:lvl>
    <w:lvl w:ilvl="3" w:tplc="B6D49BCC">
      <w:numFmt w:val="decimal"/>
      <w:lvlText w:val=""/>
      <w:lvlJc w:val="left"/>
    </w:lvl>
    <w:lvl w:ilvl="4" w:tplc="535C62D4">
      <w:numFmt w:val="decimal"/>
      <w:lvlText w:val=""/>
      <w:lvlJc w:val="left"/>
    </w:lvl>
    <w:lvl w:ilvl="5" w:tplc="CA4C6B9C">
      <w:numFmt w:val="decimal"/>
      <w:lvlText w:val=""/>
      <w:lvlJc w:val="left"/>
    </w:lvl>
    <w:lvl w:ilvl="6" w:tplc="B88C76A4">
      <w:numFmt w:val="decimal"/>
      <w:lvlText w:val=""/>
      <w:lvlJc w:val="left"/>
    </w:lvl>
    <w:lvl w:ilvl="7" w:tplc="160AD108">
      <w:numFmt w:val="decimal"/>
      <w:lvlText w:val=""/>
      <w:lvlJc w:val="left"/>
    </w:lvl>
    <w:lvl w:ilvl="8" w:tplc="D6089A1C">
      <w:numFmt w:val="decimal"/>
      <w:lvlText w:val=""/>
      <w:lvlJc w:val="left"/>
    </w:lvl>
  </w:abstractNum>
  <w:abstractNum w:abstractNumId="5" w15:restartNumberingAfterBreak="0">
    <w:nsid w:val="3B97541F"/>
    <w:multiLevelType w:val="hybridMultilevel"/>
    <w:tmpl w:val="C6007AD4"/>
    <w:lvl w:ilvl="0" w:tplc="AC720660">
      <w:start w:val="1"/>
      <w:numFmt w:val="bullet"/>
      <w:lvlText w:val=""/>
      <w:lvlJc w:val="left"/>
      <w:pPr>
        <w:tabs>
          <w:tab w:val="num" w:pos="900"/>
        </w:tabs>
        <w:ind w:left="540" w:hanging="360"/>
      </w:pPr>
      <w:rPr>
        <w:rFonts w:ascii="Symbol" w:hAnsi="Symbol" w:hint="default"/>
      </w:rPr>
    </w:lvl>
    <w:lvl w:ilvl="1" w:tplc="E22069E2">
      <w:numFmt w:val="decimal"/>
      <w:lvlText w:val=""/>
      <w:lvlJc w:val="left"/>
    </w:lvl>
    <w:lvl w:ilvl="2" w:tplc="612A1096">
      <w:numFmt w:val="decimal"/>
      <w:lvlText w:val=""/>
      <w:lvlJc w:val="left"/>
    </w:lvl>
    <w:lvl w:ilvl="3" w:tplc="D0EA29FC">
      <w:numFmt w:val="decimal"/>
      <w:lvlText w:val=""/>
      <w:lvlJc w:val="left"/>
    </w:lvl>
    <w:lvl w:ilvl="4" w:tplc="F4F0615C">
      <w:numFmt w:val="decimal"/>
      <w:lvlText w:val=""/>
      <w:lvlJc w:val="left"/>
    </w:lvl>
    <w:lvl w:ilvl="5" w:tplc="A4A4AF74">
      <w:numFmt w:val="decimal"/>
      <w:lvlText w:val=""/>
      <w:lvlJc w:val="left"/>
    </w:lvl>
    <w:lvl w:ilvl="6" w:tplc="993AB74A">
      <w:numFmt w:val="decimal"/>
      <w:lvlText w:val=""/>
      <w:lvlJc w:val="left"/>
    </w:lvl>
    <w:lvl w:ilvl="7" w:tplc="38D2470E">
      <w:numFmt w:val="decimal"/>
      <w:lvlText w:val=""/>
      <w:lvlJc w:val="left"/>
    </w:lvl>
    <w:lvl w:ilvl="8" w:tplc="6F2C5B9A">
      <w:numFmt w:val="decimal"/>
      <w:lvlText w:val=""/>
      <w:lvlJc w:val="left"/>
    </w:lvl>
  </w:abstractNum>
  <w:abstractNum w:abstractNumId="6" w15:restartNumberingAfterBreak="0">
    <w:nsid w:val="441464A8"/>
    <w:multiLevelType w:val="hybridMultilevel"/>
    <w:tmpl w:val="7AB4C670"/>
    <w:lvl w:ilvl="0" w:tplc="43D6FE6C">
      <w:start w:val="1"/>
      <w:numFmt w:val="bullet"/>
      <w:lvlText w:val=""/>
      <w:lvlJc w:val="left"/>
      <w:pPr>
        <w:tabs>
          <w:tab w:val="num" w:pos="900"/>
        </w:tabs>
        <w:ind w:left="540" w:hanging="360"/>
      </w:pPr>
      <w:rPr>
        <w:rFonts w:ascii="Symbol" w:hAnsi="Symbol" w:hint="default"/>
      </w:rPr>
    </w:lvl>
    <w:lvl w:ilvl="1" w:tplc="2216F812">
      <w:numFmt w:val="decimal"/>
      <w:lvlText w:val=""/>
      <w:lvlJc w:val="left"/>
    </w:lvl>
    <w:lvl w:ilvl="2" w:tplc="85545DF6">
      <w:numFmt w:val="decimal"/>
      <w:lvlText w:val=""/>
      <w:lvlJc w:val="left"/>
    </w:lvl>
    <w:lvl w:ilvl="3" w:tplc="01CA2358">
      <w:numFmt w:val="decimal"/>
      <w:lvlText w:val=""/>
      <w:lvlJc w:val="left"/>
    </w:lvl>
    <w:lvl w:ilvl="4" w:tplc="67CEB536">
      <w:numFmt w:val="decimal"/>
      <w:lvlText w:val=""/>
      <w:lvlJc w:val="left"/>
    </w:lvl>
    <w:lvl w:ilvl="5" w:tplc="7EF619C8">
      <w:numFmt w:val="decimal"/>
      <w:lvlText w:val=""/>
      <w:lvlJc w:val="left"/>
    </w:lvl>
    <w:lvl w:ilvl="6" w:tplc="687CBAE6">
      <w:numFmt w:val="decimal"/>
      <w:lvlText w:val=""/>
      <w:lvlJc w:val="left"/>
    </w:lvl>
    <w:lvl w:ilvl="7" w:tplc="9154B5F0">
      <w:numFmt w:val="decimal"/>
      <w:lvlText w:val=""/>
      <w:lvlJc w:val="left"/>
    </w:lvl>
    <w:lvl w:ilvl="8" w:tplc="70C489CC">
      <w:numFmt w:val="decimal"/>
      <w:lvlText w:val=""/>
      <w:lvlJc w:val="left"/>
    </w:lvl>
  </w:abstractNum>
  <w:abstractNum w:abstractNumId="7" w15:restartNumberingAfterBreak="0">
    <w:nsid w:val="45907B90"/>
    <w:multiLevelType w:val="hybridMultilevel"/>
    <w:tmpl w:val="8E387B0E"/>
    <w:lvl w:ilvl="0" w:tplc="53BA8444">
      <w:start w:val="1"/>
      <w:numFmt w:val="bullet"/>
      <w:lvlText w:val=""/>
      <w:lvlJc w:val="left"/>
      <w:pPr>
        <w:tabs>
          <w:tab w:val="num" w:pos="900"/>
        </w:tabs>
        <w:ind w:left="540" w:hanging="360"/>
      </w:pPr>
      <w:rPr>
        <w:rFonts w:ascii="Symbol" w:hAnsi="Symbol" w:hint="default"/>
      </w:rPr>
    </w:lvl>
    <w:lvl w:ilvl="1" w:tplc="B7360342">
      <w:numFmt w:val="decimal"/>
      <w:lvlText w:val=""/>
      <w:lvlJc w:val="left"/>
    </w:lvl>
    <w:lvl w:ilvl="2" w:tplc="38A0B332">
      <w:numFmt w:val="decimal"/>
      <w:lvlText w:val=""/>
      <w:lvlJc w:val="left"/>
    </w:lvl>
    <w:lvl w:ilvl="3" w:tplc="04E41090">
      <w:numFmt w:val="decimal"/>
      <w:lvlText w:val=""/>
      <w:lvlJc w:val="left"/>
    </w:lvl>
    <w:lvl w:ilvl="4" w:tplc="A8229C06">
      <w:numFmt w:val="decimal"/>
      <w:lvlText w:val=""/>
      <w:lvlJc w:val="left"/>
    </w:lvl>
    <w:lvl w:ilvl="5" w:tplc="3E68A6DC">
      <w:numFmt w:val="decimal"/>
      <w:lvlText w:val=""/>
      <w:lvlJc w:val="left"/>
    </w:lvl>
    <w:lvl w:ilvl="6" w:tplc="DDFCB656">
      <w:numFmt w:val="decimal"/>
      <w:lvlText w:val=""/>
      <w:lvlJc w:val="left"/>
    </w:lvl>
    <w:lvl w:ilvl="7" w:tplc="8E0A7B9E">
      <w:numFmt w:val="decimal"/>
      <w:lvlText w:val=""/>
      <w:lvlJc w:val="left"/>
    </w:lvl>
    <w:lvl w:ilvl="8" w:tplc="EBEA20F0">
      <w:numFmt w:val="decimal"/>
      <w:lvlText w:val=""/>
      <w:lvlJc w:val="left"/>
    </w:lvl>
  </w:abstractNum>
  <w:abstractNum w:abstractNumId="8" w15:restartNumberingAfterBreak="0">
    <w:nsid w:val="555D0F9F"/>
    <w:multiLevelType w:val="hybridMultilevel"/>
    <w:tmpl w:val="11A2DB0A"/>
    <w:lvl w:ilvl="0" w:tplc="A06E44DE">
      <w:start w:val="1"/>
      <w:numFmt w:val="decimal"/>
      <w:lvlText w:val="%1."/>
      <w:lvlJc w:val="left"/>
      <w:pPr>
        <w:tabs>
          <w:tab w:val="num" w:pos="900"/>
        </w:tabs>
        <w:ind w:left="540" w:hanging="360"/>
      </w:pPr>
    </w:lvl>
    <w:lvl w:ilvl="1" w:tplc="56E89512">
      <w:numFmt w:val="decimal"/>
      <w:lvlText w:val=""/>
      <w:lvlJc w:val="left"/>
    </w:lvl>
    <w:lvl w:ilvl="2" w:tplc="7F8A2DC2">
      <w:numFmt w:val="decimal"/>
      <w:lvlText w:val=""/>
      <w:lvlJc w:val="left"/>
    </w:lvl>
    <w:lvl w:ilvl="3" w:tplc="F7F297C0">
      <w:numFmt w:val="decimal"/>
      <w:lvlText w:val=""/>
      <w:lvlJc w:val="left"/>
    </w:lvl>
    <w:lvl w:ilvl="4" w:tplc="07D6035C">
      <w:numFmt w:val="decimal"/>
      <w:lvlText w:val=""/>
      <w:lvlJc w:val="left"/>
    </w:lvl>
    <w:lvl w:ilvl="5" w:tplc="2C10EA2C">
      <w:numFmt w:val="decimal"/>
      <w:lvlText w:val=""/>
      <w:lvlJc w:val="left"/>
    </w:lvl>
    <w:lvl w:ilvl="6" w:tplc="51FCABC2">
      <w:numFmt w:val="decimal"/>
      <w:lvlText w:val=""/>
      <w:lvlJc w:val="left"/>
    </w:lvl>
    <w:lvl w:ilvl="7" w:tplc="A5A40C2A">
      <w:numFmt w:val="decimal"/>
      <w:lvlText w:val=""/>
      <w:lvlJc w:val="left"/>
    </w:lvl>
    <w:lvl w:ilvl="8" w:tplc="E4E0ECFC">
      <w:numFmt w:val="decimal"/>
      <w:lvlText w:val=""/>
      <w:lvlJc w:val="left"/>
    </w:lvl>
  </w:abstractNum>
  <w:abstractNum w:abstractNumId="9" w15:restartNumberingAfterBreak="0">
    <w:nsid w:val="5E4677A5"/>
    <w:multiLevelType w:val="hybridMultilevel"/>
    <w:tmpl w:val="8B269944"/>
    <w:lvl w:ilvl="0" w:tplc="2BF8136A">
      <w:start w:val="1"/>
      <w:numFmt w:val="bullet"/>
      <w:lvlText w:val=""/>
      <w:lvlJc w:val="left"/>
      <w:pPr>
        <w:tabs>
          <w:tab w:val="num" w:pos="900"/>
        </w:tabs>
        <w:ind w:left="540" w:hanging="360"/>
      </w:pPr>
      <w:rPr>
        <w:rFonts w:ascii="Symbol" w:hAnsi="Symbol" w:hint="default"/>
      </w:rPr>
    </w:lvl>
    <w:lvl w:ilvl="1" w:tplc="27A44806">
      <w:numFmt w:val="decimal"/>
      <w:lvlText w:val=""/>
      <w:lvlJc w:val="left"/>
    </w:lvl>
    <w:lvl w:ilvl="2" w:tplc="734EDE4C">
      <w:numFmt w:val="decimal"/>
      <w:lvlText w:val=""/>
      <w:lvlJc w:val="left"/>
    </w:lvl>
    <w:lvl w:ilvl="3" w:tplc="A906FD7A">
      <w:numFmt w:val="decimal"/>
      <w:lvlText w:val=""/>
      <w:lvlJc w:val="left"/>
    </w:lvl>
    <w:lvl w:ilvl="4" w:tplc="EFBE13C8">
      <w:numFmt w:val="decimal"/>
      <w:lvlText w:val=""/>
      <w:lvlJc w:val="left"/>
    </w:lvl>
    <w:lvl w:ilvl="5" w:tplc="4172428E">
      <w:numFmt w:val="decimal"/>
      <w:lvlText w:val=""/>
      <w:lvlJc w:val="left"/>
    </w:lvl>
    <w:lvl w:ilvl="6" w:tplc="905A562E">
      <w:numFmt w:val="decimal"/>
      <w:lvlText w:val=""/>
      <w:lvlJc w:val="left"/>
    </w:lvl>
    <w:lvl w:ilvl="7" w:tplc="A70C07FA">
      <w:numFmt w:val="decimal"/>
      <w:lvlText w:val=""/>
      <w:lvlJc w:val="left"/>
    </w:lvl>
    <w:lvl w:ilvl="8" w:tplc="5B2C2EA4">
      <w:numFmt w:val="decimal"/>
      <w:lvlText w:val=""/>
      <w:lvlJc w:val="left"/>
    </w:lvl>
  </w:abstractNum>
  <w:abstractNum w:abstractNumId="10" w15:restartNumberingAfterBreak="0">
    <w:nsid w:val="6EF44F10"/>
    <w:multiLevelType w:val="hybridMultilevel"/>
    <w:tmpl w:val="9E9E9B6E"/>
    <w:lvl w:ilvl="0" w:tplc="48266646">
      <w:start w:val="1"/>
      <w:numFmt w:val="bullet"/>
      <w:lvlText w:val=""/>
      <w:lvlJc w:val="left"/>
      <w:pPr>
        <w:tabs>
          <w:tab w:val="num" w:pos="900"/>
        </w:tabs>
        <w:ind w:left="540" w:hanging="360"/>
      </w:pPr>
      <w:rPr>
        <w:rFonts w:ascii="Symbol" w:hAnsi="Symbol" w:hint="default"/>
      </w:rPr>
    </w:lvl>
    <w:lvl w:ilvl="1" w:tplc="EEAE133C">
      <w:numFmt w:val="decimal"/>
      <w:lvlText w:val=""/>
      <w:lvlJc w:val="left"/>
    </w:lvl>
    <w:lvl w:ilvl="2" w:tplc="50729FF4">
      <w:numFmt w:val="decimal"/>
      <w:lvlText w:val=""/>
      <w:lvlJc w:val="left"/>
    </w:lvl>
    <w:lvl w:ilvl="3" w:tplc="DE3A0952">
      <w:numFmt w:val="decimal"/>
      <w:lvlText w:val=""/>
      <w:lvlJc w:val="left"/>
    </w:lvl>
    <w:lvl w:ilvl="4" w:tplc="F744735A">
      <w:numFmt w:val="decimal"/>
      <w:lvlText w:val=""/>
      <w:lvlJc w:val="left"/>
    </w:lvl>
    <w:lvl w:ilvl="5" w:tplc="CB283DFA">
      <w:numFmt w:val="decimal"/>
      <w:lvlText w:val=""/>
      <w:lvlJc w:val="left"/>
    </w:lvl>
    <w:lvl w:ilvl="6" w:tplc="F68889C8">
      <w:numFmt w:val="decimal"/>
      <w:lvlText w:val=""/>
      <w:lvlJc w:val="left"/>
    </w:lvl>
    <w:lvl w:ilvl="7" w:tplc="2B363F34">
      <w:numFmt w:val="decimal"/>
      <w:lvlText w:val=""/>
      <w:lvlJc w:val="left"/>
    </w:lvl>
    <w:lvl w:ilvl="8" w:tplc="3BA46EF6">
      <w:numFmt w:val="decimal"/>
      <w:lvlText w:val=""/>
      <w:lvlJc w:val="left"/>
    </w:lvl>
  </w:abstractNum>
  <w:num w:numId="1" w16cid:durableId="1839150597">
    <w:abstractNumId w:val="7"/>
  </w:num>
  <w:num w:numId="2" w16cid:durableId="1772503540">
    <w:abstractNumId w:val="8"/>
  </w:num>
  <w:num w:numId="3" w16cid:durableId="1709405029">
    <w:abstractNumId w:val="0"/>
  </w:num>
  <w:num w:numId="4" w16cid:durableId="1818523838">
    <w:abstractNumId w:val="10"/>
  </w:num>
  <w:num w:numId="5" w16cid:durableId="792752367">
    <w:abstractNumId w:val="1"/>
  </w:num>
  <w:num w:numId="6" w16cid:durableId="914358337">
    <w:abstractNumId w:val="2"/>
  </w:num>
  <w:num w:numId="7" w16cid:durableId="2003924322">
    <w:abstractNumId w:val="9"/>
  </w:num>
  <w:num w:numId="8" w16cid:durableId="1757744353">
    <w:abstractNumId w:val="6"/>
  </w:num>
  <w:num w:numId="9" w16cid:durableId="162743487">
    <w:abstractNumId w:val="4"/>
  </w:num>
  <w:num w:numId="10" w16cid:durableId="1170755465">
    <w:abstractNumId w:val="5"/>
  </w:num>
  <w:num w:numId="11" w16cid:durableId="1234127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27C"/>
    <w:rsid w:val="00134B54"/>
    <w:rsid w:val="006E6817"/>
    <w:rsid w:val="0076755B"/>
    <w:rsid w:val="00A9527C"/>
    <w:rsid w:val="00D84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C0A6"/>
  <w15:docId w15:val="{C7BC255A-5DC0-4CFF-B3A7-AB2693CD8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8</Pages>
  <Words>1545</Words>
  <Characters>8810</Characters>
  <Application>Microsoft Office Word</Application>
  <DocSecurity>0</DocSecurity>
  <Lines>73</Lines>
  <Paragraphs>20</Paragraphs>
  <ScaleCrop>false</ScaleCrop>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Mark Davis</cp:lastModifiedBy>
  <cp:revision>3</cp:revision>
  <dcterms:created xsi:type="dcterms:W3CDTF">2026-07-07T14:42:00Z</dcterms:created>
  <dcterms:modified xsi:type="dcterms:W3CDTF">2026-07-07T17:27:00Z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f748b24a-b3d7-468a-a616-6b87748a4868</vt:lpwstr>
  </property>
</Properties>
</file>