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300" w:before="0" w:line="360" w:lineRule="auto"/>
        <w:jc w:val="center"/>
      </w:pPr>
      <w:r>
        <w:rPr>
          <w:rFonts w:ascii="Times New Roman" w:cs="Times New Roman" w:eastAsia="Times New Roman" w:hAnsi="Times New Roman"/>
          <w:b/>
          <w:bCs/>
          <w:color w:val="000000"/>
          <w:sz w:val="32"/>
          <w:szCs w:val="32"/>
        </w:rPr>
        <w:t xml:space="preserve">Public Satisfaction with AI in High-Risk and Low-Risk Decision Contexts: An Ordinal Analysis of Demographic and Contextual Effects</w:t>
      </w:r>
    </w:p>
    <w:p>
      <w:pPr>
        <w:spacing w:after="300" w:before="0"/>
      </w:pPr>
      <w:r>
        <w:t xml:space="preserve"/>
      </w:r>
    </w:p>
    <w:p>
      <w:pPr>
        <w:spacing w:after="160" w:before="0" w:line="360" w:lineRule="auto"/>
        <w:jc w:val="center"/>
      </w:pPr>
      <w:r>
        <w:rPr>
          <w:rFonts w:ascii="Times New Roman" w:cs="Times New Roman" w:eastAsia="Times New Roman" w:hAnsi="Times New Roman"/>
          <w:b/>
          <w:bCs/>
          <w:color w:val="000000"/>
          <w:sz w:val="24"/>
          <w:szCs w:val="24"/>
        </w:rPr>
        <w:t xml:space="preserve">Abstract</w:t>
      </w:r>
    </w:p>
    <w:p>
      <w:pPr>
        <w:spacing w:after="200" w:before="0" w:line="360" w:lineRule="auto"/>
        <w:jc w:val="both"/>
      </w:pPr>
      <w:r>
        <w:rPr>
          <w:rFonts w:ascii="Times New Roman" w:cs="Times New Roman" w:eastAsia="Times New Roman" w:hAnsi="Times New Roman"/>
          <w:b w:val="false"/>
          <w:bCs w:val="false"/>
          <w:color w:val="000000"/>
          <w:sz w:val="24"/>
          <w:szCs w:val="24"/>
        </w:rPr>
        <w:t xml:space="preserve">Artificial intelligence (AI) is increasingly embedded in high-stakes decision processes across healthcare, finance, and employment, yet public satisfaction with such systems remains underexplored relative to lower-risk applications. This study examines how decision-context criticality, age, and educational attainment shape public satisfaction with AI across five domains: healthcare, banking/finance, hiring, education, and customer service. Using a sample of 220 respondents and proportional-odds ordinal logistic regression (MASS::polr), supplemented by Kruskal-Wallis and Mann-Whitney U non-parametric tests, the study tests six hypotheses addressing contextual and demographic predictors of AI satisfaction. Results confirm that satisfaction is significantly lower in high-criticality (high-risk) contexts (W = 176,851, p &lt; .001), and that the domain hierarchy largely follows predicted patterns (Healthcare &lt; Finance &lt; Hiring &lt; Education ≈ Service). Contrary to expectation, age was positively—not negatively—associated with satisfaction in the pooled model (β = 0.028, p = .064), and educational attainment exhibited a significant negative association (β = −0.199, p = .021). Neither the Age × Risk nor the Education × Risk interaction term reached statistical significance, suggesting that demographic moderation of risk-context effects is minimal in this sample. These findings challenge prevailing assumptions about age-based AI skepticism and the educational digital dividend, and carry important implications for AI communication strategy and interface design.</w:t>
      </w:r>
    </w:p>
    <w:p>
      <w:pPr>
        <w:spacing w:after="0" w:before="0" w:line="360" w:lineRule="auto"/>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color w:val="000000"/>
          <w:sz w:val="24"/>
          <w:szCs w:val="24"/>
        </w:rPr>
        <w:t xml:space="preserve">artificial intelligence, public satisfaction, ordinal logistic regression, risk perception, age, education, AI acceptance, decision context</w:t>
      </w:r>
    </w:p>
    <w:p>
      <w:r>
        <w:br w:type="page"/>
      </w:r>
    </w:p>
    <w:p>
      <w:pPr>
        <w:pStyle w:val="Heading1"/>
        <w:spacing w:after="160" w:before="400"/>
      </w:pPr>
      <w:r>
        <w:rPr>
          <w:rFonts w:ascii="Times New Roman" w:cs="Times New Roman" w:eastAsia="Times New Roman" w:hAnsi="Times New Roman"/>
          <w:b/>
          <w:bCs/>
          <w:caps/>
          <w:color w:val="000000"/>
          <w:sz w:val="28"/>
          <w:szCs w:val="28"/>
        </w:rPr>
        <w:t xml:space="preserve">1. Introduction</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The rapid diffusion of artificial intelligence (AI) across institutional and everyday contexts has prompted substantial scholarly interest in the conditions under which the public accepts, trusts, or resists algorithmically driven decisions (Taddeo &amp; Floridi, 2018; Veale &amp; Brass, 2019). While early research concentrated on adoption intentions and utilitarian assessments of AI technologies (Davis, 1989; Venkatesh et al., 2003), a more recent strand of inquiry has turned to satisfaction—conceptualized as an affective-evaluative response to the perceived quality and fairness of AI-mediated outcomes (Cheng et al., 2022; Logg et al., 2019). Satisfaction is theoretically and practically consequential: it shapes willingness to use AI-assisted services, influences institutional legitimacy, and conditions downstream political support for AI governance (Mayer et al., 1995; O'Neil, 2016).</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A key but underexplored dimension of public AI satisfaction is its context-dependence. Decisions made with AI assistance vary dramatically in their stakes—from algorithmically curated product recommendations at one extreme to AI-supported cancer diagnoses or automated credit scoring at the other. Drawing on risk perception theory (Slovic, 1987) and algorithmic aversion research (Dietvorst et al., 2015), this study hypothesizes that the degree of perceived decision criticality systematically modulates satisfaction: people should express lower satisfaction when AI is deployed in high-stakes domains than in low-stakes ones, because perceived error costs are greater and perceived controllability is lower.</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A second open question concerns individual differences in AI satisfaction. Age and educational attainment are consistently identified as correlates of technology attitudes (Heerink et al., 2010; van Dijk, 2020), yet their effects on AI-specific satisfaction—as opposed to adoption or trust—remain inconsistently documented. Theoretical accounts suggest that older individuals, who display greater risk aversion and lower digital literacy, should be less satisfied with AI, while more educated individuals, who presumably possess greater AI literacy and can better evaluate algorithmic outputs, should be more satisfied (Mitzner et al., 2010; Ragnedda &amp; Muschert, 2013). Whether these demographic effects are uniform across risk contexts or are moderated by context criticality is largely unexamined.</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To address these gaps, this study analyzes survey data from 220 respondents, measuring self-reported satisfaction with AI across five decision domains spanning two risk strata: high-criticality (healthcare, banking, hiring) and low-criticality (education, customer service). Satisfaction is operationalized as a five-point ordinal scale, and the primary analytical tool is proportional-odds ordinal logistic regression (McCullagh, 1980), which respects the ordered categorical nature of the outcome and yields readily interpretable odds ratio estimates. The study makes three contributions: (1) it provides the first direct comparison of AI satisfaction across a theory-driven risk typology of decision domains; (2) it tests competing theoretical predictions about age and education; and (3) it examines whether demographic effects are moderated by risk context. The findings complicate prevailing narratives about age-based AI skepticism and the educational dividend, with important implications for both theory and practice.</w:t>
      </w:r>
    </w:p>
    <w:p>
      <w:pPr>
        <w:pStyle w:val="Heading1"/>
        <w:spacing w:after="160" w:before="400"/>
      </w:pPr>
      <w:r>
        <w:rPr>
          <w:rFonts w:ascii="Times New Roman" w:cs="Times New Roman" w:eastAsia="Times New Roman" w:hAnsi="Times New Roman"/>
          <w:b/>
          <w:bCs/>
          <w:caps/>
          <w:color w:val="000000"/>
          <w:sz w:val="28"/>
          <w:szCs w:val="28"/>
        </w:rPr>
        <w:t xml:space="preserve">2. Literature Review and Theoretical Framework</w:t>
      </w:r>
    </w:p>
    <w:p>
      <w:pPr>
        <w:pStyle w:val="Heading2"/>
        <w:spacing w:after="120" w:before="280"/>
      </w:pPr>
      <w:r>
        <w:rPr>
          <w:rFonts w:ascii="Times New Roman" w:cs="Times New Roman" w:eastAsia="Times New Roman" w:hAnsi="Times New Roman"/>
          <w:b/>
          <w:bCs/>
          <w:color w:val="000000"/>
          <w:sz w:val="24"/>
          <w:szCs w:val="24"/>
        </w:rPr>
        <w:t xml:space="preserve">2.1 AI Satisfaction: Conceptualization and Measurement</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Satisfaction with AI-mediated services is conceptually distinct from AI acceptance or trust, though the constructs are related. Acceptance (TAM; Davis, 1989) concerns behavioral intentions to use a technology, whereas satisfaction reflects post-experiential (or post-contemplative) evaluative judgment about whether AI performs adequately relative to expectations (Oliver, 1980). In the context of AI decisions, satisfaction has been operationalized variously as perceived accuracy, perceived fairness, and overall contentment with AI-rendered verdicts (Lee, 2018; Logg et al., 2019). Consistent with the expectancy-disconfirmation paradigm (Oliver, 1980), satisfaction is expected to be higher when AI performance exceeds or meets expectations and lower when it falls short—and expectations themselves are shaped by stakes.</w:t>
      </w:r>
    </w:p>
    <w:p>
      <w:pPr>
        <w:pStyle w:val="Heading2"/>
        <w:spacing w:after="120" w:before="280"/>
      </w:pPr>
      <w:r>
        <w:rPr>
          <w:rFonts w:ascii="Times New Roman" w:cs="Times New Roman" w:eastAsia="Times New Roman" w:hAnsi="Times New Roman"/>
          <w:b/>
          <w:bCs/>
          <w:color w:val="000000"/>
          <w:sz w:val="24"/>
          <w:szCs w:val="24"/>
        </w:rPr>
        <w:t xml:space="preserve">2.2 Decision-Context Criticality and Risk Perception</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Slovic's (1987) psychometric paradigm established that laypeople assess risk along multiple dimensions—dread, unfamiliarity, and catastrophic potential—and that these dimensions predict emotional and behavioral reactions beyond objective probability estimates. Applied to AI, Dietvorst et al. (2015) demonstrated that people resist algorithmic forecasts more strongly in high-stakes domains, a finding replicated and extended by Logg et al. (2019) and Bigman and Gray (2018). The mechanism is twofold: perceived error costs are higher in critical domains (a misdiagnosis has graver consequences than a poorly recommended film), and perceived autonomy is lower, as people feel more controlled by algorithmic systems when the stakes concern their health, finances, or employment.</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Following this logic, we expect satisfaction to decrease monotonically with decision-context criticality, with healthcare representing the most critical domain—given the life-and-death salience of medical decisions, high information asymmetry, and strong norms of professional human judgment (Obermeyer &amp; Emanuel, 2016)—followed by banking/finance (moderate stakes, regulatory implications), and hiring (career consequences, procedural justice concerns), while education and customer service represent lower-criticality contexts where errors are more recoverable and expected AI involvement is greater (Cheng et al., 2022).</w:t>
      </w:r>
    </w:p>
    <w:p>
      <w:pPr>
        <w:pStyle w:val="Heading2"/>
        <w:spacing w:after="120" w:before="280"/>
      </w:pPr>
      <w:r>
        <w:rPr>
          <w:rFonts w:ascii="Times New Roman" w:cs="Times New Roman" w:eastAsia="Times New Roman" w:hAnsi="Times New Roman"/>
          <w:b/>
          <w:bCs/>
          <w:color w:val="000000"/>
          <w:sz w:val="24"/>
          <w:szCs w:val="24"/>
        </w:rPr>
        <w:t xml:space="preserve">2.3 Age and AI Satisfaction</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Two competing theoretical accounts address the age–AI satisfaction relationship. The digital-divide perspective (van Dijk, 2020) posits that older adults have lower digital literacy, less experience with AI systems, and higher cognitive costs of engaging with algorithmic interfaces, predicting lower satisfaction. Conversely, the technology anxiety account (Mitzner et al., 2010) suggests that older adults' lower satisfaction derives specifically from anxiety about technology failure in high-stakes contexts rather than from general AI skepticism. Some empirical studies report that older adults are more conservative toward AI medical advice (Longoni et al., 2019), while others find that age effects weaken once experience and literacy are controlled (Heerink et al., 2010). The direction of the relationship in satisfaction (rather than trust or acceptance) remains contested.</w:t>
      </w:r>
    </w:p>
    <w:p>
      <w:pPr>
        <w:pStyle w:val="Heading2"/>
        <w:spacing w:after="120" w:before="280"/>
      </w:pPr>
      <w:r>
        <w:rPr>
          <w:rFonts w:ascii="Times New Roman" w:cs="Times New Roman" w:eastAsia="Times New Roman" w:hAnsi="Times New Roman"/>
          <w:b/>
          <w:bCs/>
          <w:color w:val="000000"/>
          <w:sz w:val="24"/>
          <w:szCs w:val="24"/>
        </w:rPr>
        <w:t xml:space="preserve">2.4 Educational Attainment and AI Satisfaction</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Educational attainment is theorized to enhance AI satisfaction through two mechanisms: AI literacy (the ability to understand and critically evaluate algorithmic processes; Long &amp; Magerko, 2020) and epistemic self-efficacy (Bandura, 1997). More educated individuals are presumed better equipped to assess AI outputs, recognize their appropriate scope, and calibrate expectations accordingly, leading to greater satisfaction (Ragnedda &amp; Muschert, 2013). However, an alternative account—the 'informed skepticism' thesis—predicts that education increases awareness of AI limitations, biases, and ethical concerns, reducing satisfaction in high-stakes contexts (O'Neil, 2016). The empirical literature offers mixed support for both accounts, underscoring the need for context-sensitive analysis.</w:t>
      </w:r>
    </w:p>
    <w:p>
      <w:pPr>
        <w:pStyle w:val="Heading2"/>
        <w:spacing w:after="120" w:before="280"/>
      </w:pPr>
      <w:r>
        <w:rPr>
          <w:rFonts w:ascii="Times New Roman" w:cs="Times New Roman" w:eastAsia="Times New Roman" w:hAnsi="Times New Roman"/>
          <w:b/>
          <w:bCs/>
          <w:color w:val="000000"/>
          <w:sz w:val="24"/>
          <w:szCs w:val="24"/>
        </w:rPr>
        <w:t xml:space="preserve">2.5 Research Gaps and Study Rationale</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Despite growing interest in AI acceptance and trust, comparatively few studies use ordinal outcomes appropriate for Likert-scale satisfaction data, treat domain criticality as a structured theoretical variable, or simultaneously test demographic and contextual predictors using interaction models. This study addresses all three gaps by employing proportional-odds ordinal regression, a theory-driven risk typology of five AI decision domains, and interaction terms to probe demographic moderation. The specific population—Bangladeshi respondents predominantly in early adulthood—also provides a valuable non-Western perspective underrepresented in extant AI acceptance research.</w:t>
      </w:r>
    </w:p>
    <w:p>
      <w:pPr>
        <w:pStyle w:val="Heading1"/>
        <w:spacing w:after="160" w:before="400"/>
      </w:pPr>
      <w:r>
        <w:rPr>
          <w:rFonts w:ascii="Times New Roman" w:cs="Times New Roman" w:eastAsia="Times New Roman" w:hAnsi="Times New Roman"/>
          <w:b/>
          <w:bCs/>
          <w:caps/>
          <w:color w:val="000000"/>
          <w:sz w:val="28"/>
          <w:szCs w:val="28"/>
        </w:rPr>
        <w:t xml:space="preserve">3. Research Questions and Hypotheses</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This study addresses three overarching research questions:</w:t>
      </w:r>
    </w:p>
    <w:p>
      <w:pPr>
        <w:spacing w:after="160" w:before="0" w:line="360" w:lineRule="auto"/>
        <w:ind w:left="720"/>
        <w:jc w:val="both"/>
      </w:pPr>
      <w:r>
        <w:rPr>
          <w:rFonts w:ascii="Times New Roman" w:cs="Times New Roman" w:eastAsia="Times New Roman" w:hAnsi="Times New Roman"/>
          <w:b w:val="false"/>
          <w:bCs w:val="false"/>
          <w:color w:val="000000"/>
          <w:sz w:val="24"/>
          <w:szCs w:val="24"/>
        </w:rPr>
        <w:t xml:space="preserve">RQ1: How does public satisfaction with AI vary across decision contexts characterized by different levels of perceived criticality?</w:t>
      </w:r>
    </w:p>
    <w:p>
      <w:pPr>
        <w:spacing w:after="160" w:before="0" w:line="360" w:lineRule="auto"/>
        <w:ind w:left="720"/>
        <w:jc w:val="both"/>
      </w:pPr>
      <w:r>
        <w:rPr>
          <w:rFonts w:ascii="Times New Roman" w:cs="Times New Roman" w:eastAsia="Times New Roman" w:hAnsi="Times New Roman"/>
          <w:b w:val="false"/>
          <w:bCs w:val="false"/>
          <w:color w:val="000000"/>
          <w:sz w:val="24"/>
          <w:szCs w:val="24"/>
        </w:rPr>
        <w:t xml:space="preserve">RQ2: To what extent do age and educational attainment influence public satisfaction with AI?</w:t>
      </w:r>
    </w:p>
    <w:p>
      <w:pPr>
        <w:spacing w:after="200" w:before="0" w:line="360" w:lineRule="auto"/>
        <w:ind w:left="720"/>
        <w:jc w:val="both"/>
      </w:pPr>
      <w:r>
        <w:rPr>
          <w:rFonts w:ascii="Times New Roman" w:cs="Times New Roman" w:eastAsia="Times New Roman" w:hAnsi="Times New Roman"/>
          <w:b w:val="false"/>
          <w:bCs w:val="false"/>
          <w:color w:val="000000"/>
          <w:sz w:val="24"/>
          <w:szCs w:val="24"/>
        </w:rPr>
        <w:t xml:space="preserve">RQ3: Do the effects of age and education on AI satisfaction differ across risk contexts?</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Drawing on the theoretical framework outlined above, the following hypotheses are proposed:</w:t>
      </w:r>
    </w:p>
    <w:p>
      <w:pPr>
        <w:spacing w:after="160" w:before="0" w:line="360" w:lineRule="auto"/>
        <w:ind w:left="720"/>
        <w:jc w:val="both"/>
      </w:pPr>
      <w:r>
        <w:rPr>
          <w:rFonts w:ascii="Times New Roman" w:cs="Times New Roman" w:eastAsia="Times New Roman" w:hAnsi="Times New Roman"/>
          <w:b/>
          <w:bCs/>
          <w:color w:val="000000"/>
          <w:sz w:val="24"/>
          <w:szCs w:val="24"/>
        </w:rPr>
        <w:t xml:space="preserve">H1a: </w:t>
      </w:r>
      <w:r>
        <w:rPr>
          <w:rFonts w:ascii="Times New Roman" w:cs="Times New Roman" w:eastAsia="Times New Roman" w:hAnsi="Times New Roman"/>
          <w:color w:val="000000"/>
          <w:sz w:val="24"/>
          <w:szCs w:val="24"/>
        </w:rPr>
        <w:t xml:space="preserve">Public satisfaction with AI is lower in high-criticality decision contexts than in low-criticality decision contexts.</w:t>
      </w:r>
    </w:p>
    <w:p>
      <w:pPr>
        <w:spacing w:after="160" w:before="0" w:line="360" w:lineRule="auto"/>
        <w:ind w:left="720"/>
        <w:jc w:val="both"/>
      </w:pPr>
      <w:r>
        <w:rPr>
          <w:rFonts w:ascii="Times New Roman" w:cs="Times New Roman" w:eastAsia="Times New Roman" w:hAnsi="Times New Roman"/>
          <w:b/>
          <w:bCs/>
          <w:color w:val="000000"/>
          <w:sz w:val="24"/>
          <w:szCs w:val="24"/>
        </w:rPr>
        <w:t xml:space="preserve">H1b: </w:t>
      </w:r>
      <w:r>
        <w:rPr>
          <w:rFonts w:ascii="Times New Roman" w:cs="Times New Roman" w:eastAsia="Times New Roman" w:hAnsi="Times New Roman"/>
          <w:color w:val="000000"/>
          <w:sz w:val="24"/>
          <w:szCs w:val="24"/>
        </w:rPr>
        <w:t xml:space="preserve">Among the selected domains, public satisfaction with AI is lowest in healthcare, followed by banking/finance, and highest in education and customer service.</w:t>
      </w:r>
    </w:p>
    <w:p>
      <w:pPr>
        <w:spacing w:after="160" w:before="0" w:line="360" w:lineRule="auto"/>
        <w:ind w:left="720"/>
        <w:jc w:val="both"/>
      </w:pPr>
      <w:r>
        <w:rPr>
          <w:rFonts w:ascii="Times New Roman" w:cs="Times New Roman" w:eastAsia="Times New Roman" w:hAnsi="Times New Roman"/>
          <w:b/>
          <w:bCs/>
          <w:color w:val="000000"/>
          <w:sz w:val="24"/>
          <w:szCs w:val="24"/>
        </w:rPr>
        <w:t xml:space="preserve">H2a: </w:t>
      </w:r>
      <w:r>
        <w:rPr>
          <w:rFonts w:ascii="Times New Roman" w:cs="Times New Roman" w:eastAsia="Times New Roman" w:hAnsi="Times New Roman"/>
          <w:color w:val="000000"/>
          <w:sz w:val="24"/>
          <w:szCs w:val="24"/>
        </w:rPr>
        <w:t xml:space="preserve">Age is negatively associated with public satisfaction with AI.</w:t>
      </w:r>
    </w:p>
    <w:p>
      <w:pPr>
        <w:spacing w:after="160" w:before="0" w:line="360" w:lineRule="auto"/>
        <w:ind w:left="720"/>
        <w:jc w:val="both"/>
      </w:pPr>
      <w:r>
        <w:rPr>
          <w:rFonts w:ascii="Times New Roman" w:cs="Times New Roman" w:eastAsia="Times New Roman" w:hAnsi="Times New Roman"/>
          <w:b/>
          <w:bCs/>
          <w:color w:val="000000"/>
          <w:sz w:val="24"/>
          <w:szCs w:val="24"/>
        </w:rPr>
        <w:t xml:space="preserve">H2b: </w:t>
      </w:r>
      <w:r>
        <w:rPr>
          <w:rFonts w:ascii="Times New Roman" w:cs="Times New Roman" w:eastAsia="Times New Roman" w:hAnsi="Times New Roman"/>
          <w:color w:val="000000"/>
          <w:sz w:val="24"/>
          <w:szCs w:val="24"/>
        </w:rPr>
        <w:t xml:space="preserve">Educational attainment is positively associated with public satisfaction with AI.</w:t>
      </w:r>
    </w:p>
    <w:p>
      <w:pPr>
        <w:spacing w:after="160" w:before="0" w:line="360" w:lineRule="auto"/>
        <w:ind w:left="720"/>
        <w:jc w:val="both"/>
      </w:pPr>
      <w:r>
        <w:rPr>
          <w:rFonts w:ascii="Times New Roman" w:cs="Times New Roman" w:eastAsia="Times New Roman" w:hAnsi="Times New Roman"/>
          <w:b/>
          <w:bCs/>
          <w:color w:val="000000"/>
          <w:sz w:val="24"/>
          <w:szCs w:val="24"/>
        </w:rPr>
        <w:t xml:space="preserve">H3a: </w:t>
      </w:r>
      <w:r>
        <w:rPr>
          <w:rFonts w:ascii="Times New Roman" w:cs="Times New Roman" w:eastAsia="Times New Roman" w:hAnsi="Times New Roman"/>
          <w:color w:val="000000"/>
          <w:sz w:val="24"/>
          <w:szCs w:val="24"/>
        </w:rPr>
        <w:t xml:space="preserve">The negative effect of age on public satisfaction with AI is stronger in high-criticality decision contexts than in low-criticality decision contexts.</w:t>
      </w:r>
    </w:p>
    <w:p>
      <w:pPr>
        <w:spacing w:after="0" w:before="0" w:line="360" w:lineRule="auto"/>
        <w:ind w:left="720"/>
        <w:jc w:val="both"/>
      </w:pPr>
      <w:r>
        <w:rPr>
          <w:rFonts w:ascii="Times New Roman" w:cs="Times New Roman" w:eastAsia="Times New Roman" w:hAnsi="Times New Roman"/>
          <w:b/>
          <w:bCs/>
          <w:color w:val="000000"/>
          <w:sz w:val="24"/>
          <w:szCs w:val="24"/>
        </w:rPr>
        <w:t xml:space="preserve">H3b: </w:t>
      </w:r>
      <w:r>
        <w:rPr>
          <w:rFonts w:ascii="Times New Roman" w:cs="Times New Roman" w:eastAsia="Times New Roman" w:hAnsi="Times New Roman"/>
          <w:color w:val="000000"/>
          <w:sz w:val="24"/>
          <w:szCs w:val="24"/>
        </w:rPr>
        <w:t xml:space="preserve">The positive effect of educational attainment on public satisfaction with AI differs across decision contexts and is stronger in high-criticality contexts.</w:t>
      </w:r>
    </w:p>
    <w:p>
      <w:pPr>
        <w:pStyle w:val="Heading1"/>
        <w:spacing w:after="160" w:before="400"/>
      </w:pPr>
      <w:r>
        <w:rPr>
          <w:rFonts w:ascii="Times New Roman" w:cs="Times New Roman" w:eastAsia="Times New Roman" w:hAnsi="Times New Roman"/>
          <w:b/>
          <w:bCs/>
          <w:caps/>
          <w:color w:val="000000"/>
          <w:sz w:val="28"/>
          <w:szCs w:val="28"/>
        </w:rPr>
        <w:t xml:space="preserve">4. Methods</w:t>
      </w:r>
    </w:p>
    <w:p>
      <w:pPr>
        <w:pStyle w:val="Heading2"/>
        <w:spacing w:after="120" w:before="280"/>
      </w:pPr>
      <w:r>
        <w:rPr>
          <w:rFonts w:ascii="Times New Roman" w:cs="Times New Roman" w:eastAsia="Times New Roman" w:hAnsi="Times New Roman"/>
          <w:b/>
          <w:bCs/>
          <w:color w:val="000000"/>
          <w:sz w:val="24"/>
          <w:szCs w:val="24"/>
        </w:rPr>
        <w:t xml:space="preserve">4.1 Sample and Data Collection</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Data were collected via structured survey from 220 respondents. The sample exhibits a right-skewed age distribution, with a mean age of 23.30 years (SD = 4.32) and a range of 18–52 years, reflecting a predominantly early-adult and student population. Educational attainment was measured as an ordered five-category variable: SSC (n = 4), HSC (n = 88), Bachelor (n = 108), Master (n = 14), and PhD (n = 6). All participants indicated some exposure to or awareness of AI technologies; AI usage frequency was recorded as a covariate (Daily, Weekly, Monthly, Never). The survey instrument was developed in English and administered in a structured format to ensure consistent interpretation across respondents.</w:t>
      </w:r>
    </w:p>
    <w:p>
      <w:pPr>
        <w:pStyle w:val="Heading2"/>
        <w:spacing w:after="120" w:before="280"/>
      </w:pPr>
      <w:r>
        <w:rPr>
          <w:rFonts w:ascii="Times New Roman" w:cs="Times New Roman" w:eastAsia="Times New Roman" w:hAnsi="Times New Roman"/>
          <w:b/>
          <w:bCs/>
          <w:color w:val="000000"/>
          <w:sz w:val="24"/>
          <w:szCs w:val="24"/>
        </w:rPr>
        <w:t xml:space="preserve">4.2 Measures</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AI satisfaction was measured separately for five decision domains: (1) healthcare (e.g., AI-assisted diagnosis or treatment recommendation), (2) banking/finance (e.g., AI-driven credit scoring or fraud detection), (3) hiring (e.g., AI-assisted resume screening or applicant ranking), (4) education (e.g., AI-assisted grading or learning personalization), and (5) customer service (e.g., AI chatbots for query resolution). Each domain elicited a five-point ordinal satisfaction rating (1 = very dissatisfied, 5 = very satisfied). Respondents also indicated their willingness to use AI in each domain (Yes/No/Maybe), which served as a domain-level engagement covariate.</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Domains were classified into two risk strata a priori: high-criticality (Healthcare, Finance, Hiring) and low-criticality (Education, Customer Service), following Bigman and Gray's (2018) typology of irreversible, agentic AI decisions. Age was treated as a continuous variable, and educational attainment was recoded as an ordered numeric score (1 = SSC through 5 = PhD) consistent with its ordinal structure.</w:t>
      </w:r>
    </w:p>
    <w:p>
      <w:pPr>
        <w:pStyle w:val="Heading2"/>
        <w:spacing w:after="120" w:before="280"/>
      </w:pPr>
      <w:r>
        <w:rPr>
          <w:rFonts w:ascii="Times New Roman" w:cs="Times New Roman" w:eastAsia="Times New Roman" w:hAnsi="Times New Roman"/>
          <w:b/>
          <w:bCs/>
          <w:color w:val="000000"/>
          <w:sz w:val="24"/>
          <w:szCs w:val="24"/>
        </w:rPr>
        <w:t xml:space="preserve">4.3 Analytical Strategy</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The primary analytical model is proportional-odds ordinal logistic regression (POLR; McCullagh, 1980), implemented via MASS::polr in R (R Core Team, 2024). The proportional-odds model is appropriate when outcomes are ordered categorical and the number of categories is sufficient (here, five response levels). Under this model, the log odds of observing a response in category j or higher is a linear function of predictors, subject to the constraint that predictor effects are proportional across all cut-points (the proportional-odds or parallel-regression assumption).</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Five domain-specific models (Models 1–5) were estimated with age and education score as predictors to address RQ2 and provide domain-level insights. A pooled model (Model 6) incorporating all five domains with a risk-level dummy was then estimated to test main effects. Models 7 and 8 introduced Age × Risk and Education × Risk interaction terms to address H3a and H3b respectively, with model comparison via likelihood-ratio tests (LRT). A full interaction model (Model 9) served as a robustness check. All models include threshold parameters (intercepts) for the four cut-points between response categories.</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The proportional-odds assumption was evaluated using a manual Brant-style approach: for each domain outcome, binary logistic regressions were estimated at each of the four cut-points (Y &gt; k, k = 1,…,4), and coefficient stability across cut-points was assessed visually (see Appendix). Non-parametric tests (Kruskal-Wallis with Bonferroni-corrected pairwise Wilcoxon tests; Mann-Whitney U) were used to address RQ1 and H1a/H1b without distributional assumptions. All p-values are two-tailed; α = .05. Odds ratios (OR) and 95% confidence intervals (CI) computed via profile likelihood are reported throughout.</w:t>
      </w:r>
    </w:p>
    <w:p>
      <w:pPr>
        <w:pStyle w:val="Heading1"/>
        <w:spacing w:after="160" w:before="400"/>
      </w:pPr>
      <w:r>
        <w:rPr>
          <w:rFonts w:ascii="Times New Roman" w:cs="Times New Roman" w:eastAsia="Times New Roman" w:hAnsi="Times New Roman"/>
          <w:b/>
          <w:bCs/>
          <w:caps/>
          <w:color w:val="000000"/>
          <w:sz w:val="28"/>
          <w:szCs w:val="28"/>
        </w:rPr>
        <w:t xml:space="preserve">5. Results</w:t>
      </w:r>
    </w:p>
    <w:p>
      <w:pPr>
        <w:pStyle w:val="Heading2"/>
        <w:spacing w:after="120" w:before="280"/>
      </w:pPr>
      <w:r>
        <w:rPr>
          <w:rFonts w:ascii="Times New Roman" w:cs="Times New Roman" w:eastAsia="Times New Roman" w:hAnsi="Times New Roman"/>
          <w:b/>
          <w:bCs/>
          <w:color w:val="000000"/>
          <w:sz w:val="24"/>
          <w:szCs w:val="24"/>
        </w:rPr>
        <w:t xml:space="preserve">5.1 Descriptive Statistics</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Table 1 reports mean satisfaction ratings and standard deviations by domain and risk stratum. A clear gradient is evident: healthcare yields the lowest mean satisfaction (M = 2.15, SD = 1.17), followed by finance (M = 2.53, SD = 1.17), hiring (M = 3.00, SD = 1.31), education (M = 3.05, SD = 1.25), and customer service (M = 3.07, SD = 1.17). Aggregated by risk stratum, the high-risk group (Healthcare, Finance, Hiring) returns a mean of 2.56 (SD = 1.26) compared with 3.06 (SD = 1.21) for the low-risk group (Education, Service). Figure 1 displays the proportional distribution of all five response categories across domains, confirming that high-risk domains are dominated by ratings 1 and 2, while low-risk domains show modal ratings of 3 and 4.</w:t>
      </w:r>
    </w:p>
    <w:p>
      <w:pPr>
        <w:spacing w:after="40" w:before="200" w:line="360" w:lineRule="auto"/>
        <w:jc w:val="center"/>
      </w:pPr>
      <w:r>
        <w:rPr>
          <w:rFonts w:ascii="Times New Roman" w:cs="Times New Roman" w:eastAsia="Times New Roman" w:hAnsi="Times New Roman"/>
          <w:b/>
          <w:bCs/>
          <w:color w:val="000000"/>
          <w:sz w:val="24"/>
          <w:szCs w:val="24"/>
        </w:rPr>
        <w:t xml:space="preserve">Table 1</w:t>
      </w:r>
    </w:p>
    <w:p>
      <w:pPr>
        <w:spacing w:after="80" w:before="0" w:line="360" w:lineRule="auto"/>
        <w:jc w:val="center"/>
      </w:pPr>
      <w:r>
        <w:rPr>
          <w:rFonts w:ascii="Times New Roman" w:cs="Times New Roman" w:eastAsia="Times New Roman" w:hAnsi="Times New Roman"/>
          <w:b w:val="false"/>
          <w:bCs w:val="false"/>
          <w:color w:val="000000"/>
          <w:sz w:val="24"/>
          <w:szCs w:val="24"/>
        </w:rPr>
        <w:t xml:space="preserve">Descriptive Statistics: Mean Satisfaction by Domain and Risk Stratum</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gridCol w:w="1760"/>
      </w:tblGrid>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Domain</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Risk Stratum</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n</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Mean</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SD</w:t>
            </w:r>
          </w:p>
        </w:tc>
        <w:tc>
          <w:tcPr>
            <w:tcW w:type="dxa" w:w="17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Median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Healthcare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High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220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2.15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Finance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High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220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2.53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Hiring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High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220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3.00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1.31</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Education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Low</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220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3.05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1.25</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Service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Low</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220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3.07</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r>
      <w:tr>
        <w:tc>
          <w:tcPr>
            <w:tcW w:type="dxa" w:w="22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High-Risk Pool</w:t>
            </w:r>
          </w:p>
        </w:tc>
        <w:tc>
          <w:tcPr>
            <w:tcW w:type="dxa" w:w="16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High</w:t>
            </w:r>
          </w:p>
        </w:tc>
        <w:tc>
          <w:tcPr>
            <w:tcW w:type="dxa" w:w="16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660</w:t>
            </w:r>
          </w:p>
        </w:tc>
        <w:tc>
          <w:tcPr>
            <w:tcW w:type="dxa" w:w="16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2.56</w:t>
            </w:r>
          </w:p>
        </w:tc>
        <w:tc>
          <w:tcPr>
            <w:tcW w:type="dxa" w:w="16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1.26</w:t>
            </w:r>
          </w:p>
        </w:tc>
        <w:tc>
          <w:tcPr>
            <w:tcW w:type="dxa" w:w="176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w:t>
            </w:r>
          </w:p>
        </w:tc>
      </w:tr>
      <w:tr>
        <w:tc>
          <w:tcPr>
            <w:tcW w:type="dxa" w:w="22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Low-Risk Pool</w:t>
            </w:r>
          </w:p>
        </w:tc>
        <w:tc>
          <w:tcPr>
            <w:tcW w:type="dxa" w:w="16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Low</w:t>
            </w:r>
          </w:p>
        </w:tc>
        <w:tc>
          <w:tcPr>
            <w:tcW w:type="dxa" w:w="16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440</w:t>
            </w:r>
          </w:p>
        </w:tc>
        <w:tc>
          <w:tcPr>
            <w:tcW w:type="dxa" w:w="16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3.06</w:t>
            </w:r>
          </w:p>
        </w:tc>
        <w:tc>
          <w:tcPr>
            <w:tcW w:type="dxa" w:w="16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1.21</w:t>
            </w:r>
          </w:p>
        </w:tc>
        <w:tc>
          <w:tcPr>
            <w:tcW w:type="dxa" w:w="176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w:t>
            </w:r>
          </w:p>
        </w:tc>
      </w:tr>
    </w:tbl>
    <w:p>
      <w:pPr>
        <w:spacing w:after="200" w:before="0" w:line="360" w:lineRule="auto"/>
        <w:jc w:val="both"/>
      </w:pPr>
      <w:r>
        <w:rPr>
          <w:rFonts w:ascii="Times New Roman" w:cs="Times New Roman" w:eastAsia="Times New Roman" w:hAnsi="Times New Roman"/>
          <w:b w:val="false"/>
          <w:bCs w:val="false"/>
          <w:color w:val="000000"/>
          <w:sz w:val="20"/>
          <w:szCs w:val="20"/>
        </w:rPr>
        <w:t xml:space="preserve">Note. Satisfaction measured on a 5-point ordinal scale (1 = very dissatisfied, 5 = very satisfied). n = 220 per domain; pooled observations = 1,100.</w:t>
      </w:r>
    </w:p>
    <w:p>
      <w:pPr>
        <w:pStyle w:val="Heading2"/>
        <w:spacing w:after="120" w:before="280"/>
      </w:pPr>
      <w:r>
        <w:rPr>
          <w:rFonts w:ascii="Times New Roman" w:cs="Times New Roman" w:eastAsia="Times New Roman" w:hAnsi="Times New Roman"/>
          <w:b/>
          <w:bCs/>
          <w:color w:val="000000"/>
          <w:sz w:val="24"/>
          <w:szCs w:val="24"/>
        </w:rPr>
        <w:t xml:space="preserve">5.2 Non-Parametric Tests: RQ1, H1a, and H1b</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A Kruskal-Wallis test on satisfaction pooled across domains indicated a highly significant difference across the five decision domains, H(4) = 91.53, p &lt; .001. Bonferroni-corrected pairwise Wilcoxon tests (Table 2) reveal that healthcare differs significantly from all other domains (all p &lt; .005), and finance differs significantly from all except healthcare at the Bonferroni threshold. By contrast, hiring, education, and service are statistically indistinguishable from each other (all pairwise p = 1.000). A Mann-Whitney U test comparing the aggregated high-risk stratum (Healthcare + Finance + Hiring) against the low-risk stratum (Education + Service) yielded W = 176,851, p &lt; .001, confirming that high-risk domain satisfaction is systematically lower than low-risk domain satisfaction.</w:t>
      </w:r>
    </w:p>
    <w:p>
      <w:pPr>
        <w:spacing w:after="40" w:before="200" w:line="360" w:lineRule="auto"/>
        <w:jc w:val="center"/>
      </w:pPr>
      <w:r>
        <w:rPr>
          <w:rFonts w:ascii="Times New Roman" w:cs="Times New Roman" w:eastAsia="Times New Roman" w:hAnsi="Times New Roman"/>
          <w:b/>
          <w:bCs/>
          <w:color w:val="000000"/>
          <w:sz w:val="24"/>
          <w:szCs w:val="24"/>
        </w:rPr>
        <w:t xml:space="preserve">Table 2</w:t>
      </w:r>
    </w:p>
    <w:p>
      <w:pPr>
        <w:spacing w:after="80" w:before="0" w:line="360" w:lineRule="auto"/>
        <w:jc w:val="center"/>
      </w:pPr>
      <w:r>
        <w:rPr>
          <w:rFonts w:ascii="Times New Roman" w:cs="Times New Roman" w:eastAsia="Times New Roman" w:hAnsi="Times New Roman"/>
          <w:b w:val="false"/>
          <w:bCs w:val="false"/>
          <w:color w:val="000000"/>
          <w:sz w:val="24"/>
          <w:szCs w:val="24"/>
        </w:rPr>
        <w:t xml:space="preserve">Bonferroni-Corrected Pairwise Wilcoxon Test p-Values Across Domains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700"/>
      </w:tblGrid>
      <w:tr>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Domain</w:t>
            </w:r>
          </w:p>
        </w:tc>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Healthcare</w:t>
            </w:r>
          </w:p>
        </w:tc>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Finance</w:t>
            </w:r>
          </w:p>
        </w:tc>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Hiring</w:t>
            </w:r>
          </w:p>
        </w:tc>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Education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Finance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.005**</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Hiring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&lt; .001***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&lt; .001***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Education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&lt; .001***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&lt; .001***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Service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&lt; .001***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&lt; .001***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r>
    </w:tbl>
    <w:p>
      <w:pPr>
        <w:spacing w:after="200" w:before="0" w:line="360" w:lineRule="auto"/>
        <w:jc w:val="both"/>
      </w:pPr>
      <w:r>
        <w:rPr>
          <w:rFonts w:ascii="Times New Roman" w:cs="Times New Roman" w:eastAsia="Times New Roman" w:hAnsi="Times New Roman"/>
          <w:b w:val="false"/>
          <w:bCs w:val="false"/>
          <w:color w:val="000000"/>
          <w:sz w:val="20"/>
          <w:szCs w:val="20"/>
        </w:rPr>
        <w:t xml:space="preserve">Note. ** p &lt; .01; *** p &lt; .001. Bonferroni adjustment applied. Mann-Whitney U (High-Risk vs. Low-Risk): W = 176,851, p &lt; .001.</w:t>
      </w:r>
    </w:p>
    <w:p>
      <w:pPr>
        <w:pStyle w:val="Heading2"/>
        <w:spacing w:after="120" w:before="280"/>
      </w:pPr>
      <w:r>
        <w:rPr>
          <w:rFonts w:ascii="Times New Roman" w:cs="Times New Roman" w:eastAsia="Times New Roman" w:hAnsi="Times New Roman"/>
          <w:b/>
          <w:bCs/>
          <w:color w:val="000000"/>
          <w:sz w:val="24"/>
          <w:szCs w:val="24"/>
        </w:rPr>
        <w:t xml:space="preserve">5.3 Domain-Specific Ordinal Models: RQ2, H2a, H2b</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Table 3 presents the five domain-specific proportional-odds models (Models 1–5), each predicting domain satisfaction from age and education score. In no individual model do either age or education reach conventional statistical significance (all p &gt; .10), though directional patterns are consistent with predictions in some domains. In the finance domain, age approaches significance (β = 0.063, OR = 1.065, p = .109), and education is directionally negative across all five domains (ORs ranging from 0.781 to 0.917). Figure 7 (Forest Plot) presents the OR estimates and 95% CIs graphically, confirming that all CIs encompass OR = 1.00, consistent with the absence of statistically significant domain-specific effects for either predictor.</w:t>
      </w:r>
    </w:p>
    <w:p>
      <w:pPr>
        <w:spacing w:after="40" w:before="200" w:line="360" w:lineRule="auto"/>
        <w:jc w:val="center"/>
      </w:pPr>
      <w:r>
        <w:rPr>
          <w:rFonts w:ascii="Times New Roman" w:cs="Times New Roman" w:eastAsia="Times New Roman" w:hAnsi="Times New Roman"/>
          <w:b/>
          <w:bCs/>
          <w:color w:val="000000"/>
          <w:sz w:val="24"/>
          <w:szCs w:val="24"/>
        </w:rPr>
        <w:t xml:space="preserve">Table 3</w:t>
      </w:r>
    </w:p>
    <w:p>
      <w:pPr>
        <w:spacing w:after="80" w:before="0" w:line="360" w:lineRule="auto"/>
        <w:jc w:val="center"/>
      </w:pPr>
      <w:r>
        <w:rPr>
          <w:rFonts w:ascii="Times New Roman" w:cs="Times New Roman" w:eastAsia="Times New Roman" w:hAnsi="Times New Roman"/>
          <w:b w:val="false"/>
          <w:bCs w:val="false"/>
          <w:color w:val="000000"/>
          <w:sz w:val="24"/>
          <w:szCs w:val="24"/>
        </w:rPr>
        <w:t xml:space="preserve">Domain-Specific Proportional-Odds Ordinal Logistic Regression Models (Models 1–5)</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900"/>
        <w:gridCol w:w="1020"/>
        <w:gridCol w:w="800"/>
        <w:gridCol w:w="1080"/>
        <w:gridCol w:w="800"/>
        <w:gridCol w:w="1080"/>
        <w:gridCol w:w="800"/>
        <w:gridCol w:w="1080"/>
      </w:tblGrid>
      <w:tr>
        <w:tc>
          <w:tcPr>
            <w:tcW w:type="dxa" w:w="1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
            </w:r>
          </w:p>
        </w:tc>
        <w:tc>
          <w:tcPr>
            <w:tcW w:type="dxa" w:w="10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M1: Healthcare
(High)</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
            </w:r>
          </w:p>
        </w:tc>
        <w:tc>
          <w:tcPr>
            <w:tcW w:type="dxa" w:w="10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M2: Finance
(High)</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
            </w:r>
          </w:p>
        </w:tc>
        <w:tc>
          <w:tcPr>
            <w:tcW w:type="dxa" w:w="10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M3: Hiring
(High)</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
            </w:r>
          </w:p>
        </w:tc>
        <w:tc>
          <w:tcPr>
            <w:tcW w:type="dxa" w:w="10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M4: Education
(Low)</w:t>
            </w:r>
          </w:p>
        </w:tc>
      </w:tr>
      <w:tr>
        <w:tc>
          <w:tcPr>
            <w:tcW w:type="dxa" w:w="19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Predictor</w:t>
            </w:r>
          </w:p>
        </w:tc>
        <w:tc>
          <w:tcPr>
            <w:tcW w:type="dxa" w:w="102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β</w:t>
            </w:r>
          </w:p>
        </w:tc>
        <w:tc>
          <w:tcPr>
            <w:tcW w:type="dxa" w:w="8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OR</w:t>
            </w:r>
          </w:p>
        </w:tc>
        <w:tc>
          <w:tcPr>
            <w:tcW w:type="dxa" w:w="108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β</w:t>
            </w:r>
          </w:p>
        </w:tc>
        <w:tc>
          <w:tcPr>
            <w:tcW w:type="dxa" w:w="8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OR</w:t>
            </w:r>
          </w:p>
        </w:tc>
        <w:tc>
          <w:tcPr>
            <w:tcW w:type="dxa" w:w="108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β</w:t>
            </w:r>
          </w:p>
        </w:tc>
        <w:tc>
          <w:tcPr>
            <w:tcW w:type="dxa" w:w="8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OR</w:t>
            </w:r>
          </w:p>
        </w:tc>
        <w:tc>
          <w:tcPr>
            <w:tcW w:type="dxa" w:w="108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β</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Age</w:t>
            </w:r>
          </w:p>
        </w:tc>
        <w:tc>
          <w:tcPr>
            <w:tcW w:type="dxa" w:w="1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0.009</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1.009</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0.063</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1.065</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-0.023</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0.977</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0.052</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p-value (Age)</w:t>
            </w:r>
          </w:p>
        </w:tc>
        <w:tc>
          <w:tcPr>
            <w:tcW w:type="dxa" w:w="1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.790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.109</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.118</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Education</w:t>
            </w:r>
          </w:p>
        </w:tc>
        <w:tc>
          <w:tcPr>
            <w:tcW w:type="dxa" w:w="1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-0.166</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0.847</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-0.214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0.807</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-0.247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0.781</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-0.297</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p-value (Edu)</w:t>
            </w:r>
          </w:p>
        </w:tc>
        <w:tc>
          <w:tcPr>
            <w:tcW w:type="dxa" w:w="1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.388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.298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.190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.128</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AIC</w:t>
            </w:r>
          </w:p>
        </w:tc>
        <w:tc>
          <w:tcPr>
            <w:tcW w:type="dxa" w:w="1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602.08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643.57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684.61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660.87</w:t>
            </w:r>
          </w:p>
        </w:tc>
      </w:tr>
    </w:tbl>
    <w:p>
      <w:pPr>
        <w:spacing w:after="200" w:before="0" w:line="360" w:lineRule="auto"/>
        <w:jc w:val="both"/>
      </w:pPr>
      <w:r>
        <w:rPr>
          <w:rFonts w:ascii="Times New Roman" w:cs="Times New Roman" w:eastAsia="Times New Roman" w:hAnsi="Times New Roman"/>
          <w:b w:val="false"/>
          <w:bCs w:val="false"/>
          <w:color w:val="000000"/>
          <w:sz w:val="20"/>
          <w:szCs w:val="20"/>
        </w:rPr>
        <w:t xml:space="preserve">Note. β = log-odds coefficient; OR = odds ratio. All 95% CIs span OR = 1.00. Model 5 (Service, Low-Risk): Age β = 0.054, p = .134, OR = 1.055; Education β = −0.086, p = .668, OR = 0.917; AIC = 656.05.</w:t>
      </w:r>
    </w:p>
    <w:p>
      <w:pPr>
        <w:pStyle w:val="Heading2"/>
        <w:spacing w:after="120" w:before="280"/>
      </w:pPr>
      <w:r>
        <w:rPr>
          <w:rFonts w:ascii="Times New Roman" w:cs="Times New Roman" w:eastAsia="Times New Roman" w:hAnsi="Times New Roman"/>
          <w:b/>
          <w:bCs/>
          <w:color w:val="000000"/>
          <w:sz w:val="24"/>
          <w:szCs w:val="24"/>
        </w:rPr>
        <w:t xml:space="preserve">5.4 Pooled Models and Interaction Tests: RQ2, RQ3, H2a, H2b, H3a, H3b</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Table 4 presents the pooled ordinal models (Models 6–9). In the main-effects model (Model 6), age is positively but marginally significantly associated with satisfaction (β = 0.028, p = .064), directly contradicting H2a. Education is significantly and negatively associated (β = −0.199, p = .021), also contradicting H2b. Risk stratum is a strong predictor: being in a high-risk context is associated with substantially lower odds of higher satisfaction (β = −0.709, p &lt; .001, OR = 0.492).</w:t>
      </w:r>
    </w:p>
    <w:p>
      <w:pPr>
        <w:spacing w:after="40" w:before="200" w:line="360" w:lineRule="auto"/>
        <w:jc w:val="center"/>
      </w:pPr>
      <w:r>
        <w:rPr>
          <w:rFonts w:ascii="Times New Roman" w:cs="Times New Roman" w:eastAsia="Times New Roman" w:hAnsi="Times New Roman"/>
          <w:b/>
          <w:bCs/>
          <w:color w:val="000000"/>
          <w:sz w:val="24"/>
          <w:szCs w:val="24"/>
        </w:rPr>
        <w:t xml:space="preserve">Table 4</w:t>
      </w:r>
    </w:p>
    <w:p>
      <w:pPr>
        <w:spacing w:after="80" w:before="0" w:line="360" w:lineRule="auto"/>
        <w:jc w:val="center"/>
      </w:pPr>
      <w:r>
        <w:rPr>
          <w:rFonts w:ascii="Times New Roman" w:cs="Times New Roman" w:eastAsia="Times New Roman" w:hAnsi="Times New Roman"/>
          <w:b w:val="false"/>
          <w:bCs w:val="false"/>
          <w:color w:val="000000"/>
          <w:sz w:val="24"/>
          <w:szCs w:val="24"/>
        </w:rPr>
        <w:t xml:space="preserve">Pooled Proportional-Odds Models: Main Effects and Interaction Models (Models 6–9)</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1200"/>
        <w:gridCol w:w="1000"/>
        <w:gridCol w:w="1200"/>
        <w:gridCol w:w="1560"/>
      </w:tblGrid>
      <w:tr>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Predictor</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M6: Main Effects
β (SE)</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M7: Age×Risk
β (SE)</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M8: Edu×Risk
β (SE)</w:t>
            </w:r>
          </w:p>
        </w:tc>
        <w:tc>
          <w:tcPr>
            <w:tcW w:type="dxa" w:w="15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Age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0.028 (0.015)</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.064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0.052 (0.022)</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.016*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0.028 (0.015)</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.064</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Education Score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-0.199 (0.086)</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-0.200 (0.086)</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-0.116 (0.122)</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.344</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Risk: High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-0.709 (0.112)</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&lt; .001***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0.209 (0.594)</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.725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-0.350 (0.391)</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.371</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Age × Risk: High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-0.040 (0.025)</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Education × Risk: High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-0.138 (0.144)</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.337</w:t>
            </w:r>
          </w:p>
        </w:tc>
      </w:tr>
      <w:tr>
        <w:tc>
          <w:tcPr>
            <w:tcW w:type="dxa" w:w="24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AIC</w:t>
            </w:r>
          </w:p>
        </w:tc>
        <w:tc>
          <w:tcPr>
            <w:tcW w:type="dxa" w:w="12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3279.60</w:t>
            </w:r>
          </w:p>
        </w:tc>
        <w:tc>
          <w:tcPr>
            <w:tcW w:type="dxa" w:w="10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3279.11</w:t>
            </w:r>
          </w:p>
        </w:tc>
        <w:tc>
          <w:tcPr>
            <w:tcW w:type="dxa" w:w="10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3280.68</w:t>
            </w:r>
          </w:p>
        </w:tc>
        <w:tc>
          <w:tcPr>
            <w:tcW w:type="dxa" w:w="156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24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LRT vs. M6: χ²(1)</w:t>
            </w:r>
          </w:p>
        </w:tc>
        <w:tc>
          <w:tcPr>
            <w:tcW w:type="dxa" w:w="12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0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2.49</w:t>
            </w:r>
          </w:p>
        </w:tc>
        <w:tc>
          <w:tcPr>
            <w:tcW w:type="dxa" w:w="10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.115</w:t>
            </w:r>
          </w:p>
        </w:tc>
        <w:tc>
          <w:tcPr>
            <w:tcW w:type="dxa" w:w="120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0.92</w:t>
            </w:r>
          </w:p>
        </w:tc>
        <w:tc>
          <w:tcPr>
            <w:tcW w:type="dxa" w:w="1560"/>
            <w:tcBorders>
              <w:top w:val="single" w:color="AAAAAA" w:sz="1"/>
              <w:left w:val="single" w:color="AAAAAA" w:sz="1"/>
              <w:bottom w:val="single" w:color="AAAAAA" w:sz="1"/>
              <w:right w:val="single" w:color="AAAAAA" w:sz="1"/>
            </w:tcBorders>
            <w:shd w:fill="EBF1DE"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.337</w:t>
            </w:r>
          </w:p>
        </w:tc>
      </w:tr>
    </w:tbl>
    <w:p>
      <w:pPr>
        <w:spacing w:after="200" w:before="0" w:line="360" w:lineRule="auto"/>
        <w:jc w:val="both"/>
      </w:pPr>
      <w:r>
        <w:rPr>
          <w:rFonts w:ascii="Times New Roman" w:cs="Times New Roman" w:eastAsia="Times New Roman" w:hAnsi="Times New Roman"/>
          <w:b w:val="false"/>
          <w:bCs w:val="false"/>
          <w:color w:val="000000"/>
          <w:sz w:val="20"/>
          <w:szCs w:val="20"/>
        </w:rPr>
        <w:t xml:space="preserve">Note. N = 1,100 pooled observations (220 respondents × 5 domains). SE = standard error. LRT = likelihood-ratio test versus Model 6. * p &lt; .05; *** p &lt; .001. M9 (full interaction) AIC = 3281.11; LRT χ²(2) = 2.49, p = .288.</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Model 7 (Age × Risk interaction) shows that the interaction coefficient is negative (β = −0.040, p = .116) and does not reach significance. The LRT comparing Model 7 to the main-effects Model 6 is non-significant, χ²(1) = 2.49, p = .115. Similarly, Model 8 (Education × Risk interaction) yields a non-significant interaction term (β = −0.138, p = .337), and the LRT is non-significant, χ²(1) = 0.92, p = .337. The full-interaction model (Model 9) confirms these findings (LRT vs. Model 6: χ²(2) = 2.49, p = .288), and model fit (AIC = 3281.11) is worse than the parsimonious main-effects model (AIC = 3279.60). Figure 9 visualizes the AIC values across models, confirming that the main-effects model offers the best fit.</w:t>
      </w:r>
    </w:p>
    <w:p>
      <w:pPr>
        <w:pStyle w:val="Heading2"/>
        <w:spacing w:after="120" w:before="280"/>
      </w:pPr>
      <w:r>
        <w:rPr>
          <w:rFonts w:ascii="Times New Roman" w:cs="Times New Roman" w:eastAsia="Times New Roman" w:hAnsi="Times New Roman"/>
          <w:b/>
          <w:bCs/>
          <w:color w:val="000000"/>
          <w:sz w:val="24"/>
          <w:szCs w:val="24"/>
        </w:rPr>
        <w:t xml:space="preserve">5.5 Proportional-Odds Assumption</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The proportional-odds assumption was evaluated by examining the stability of age and education coefficients across the four binary logistic models corresponding to the cut-points Y &gt; 1, Y &gt; 2, Y &gt; 3, and Y &gt; 4 within each domain. For age, coefficients ranged from −0.073 to +0.105 across all domains and cut-points, showing no systematic monotonic drift. For education, coefficients were consistently negative across most cut-points in most domains, though some variability was observed in the service domain at higher cut-points. In the absence of formal Brant test software in this environment, these patterns are interpreted as broadly consistent with the proportional-odds assumption, with the caveat that the service domain education coefficient shows some variability at the highest cut-point (Y &gt; 4). Results should be interpreted cautiously in this respect.</w:t>
      </w:r>
    </w:p>
    <w:p>
      <w:pPr>
        <w:pStyle w:val="Heading1"/>
        <w:spacing w:after="160" w:before="400"/>
      </w:pPr>
      <w:r>
        <w:rPr>
          <w:rFonts w:ascii="Times New Roman" w:cs="Times New Roman" w:eastAsia="Times New Roman" w:hAnsi="Times New Roman"/>
          <w:b/>
          <w:bCs/>
          <w:caps/>
          <w:color w:val="000000"/>
          <w:sz w:val="28"/>
          <w:szCs w:val="28"/>
        </w:rPr>
        <w:t xml:space="preserve">6. Discussion</w:t>
      </w:r>
    </w:p>
    <w:p>
      <w:pPr>
        <w:pStyle w:val="Heading2"/>
        <w:spacing w:after="120" w:before="280"/>
      </w:pPr>
      <w:r>
        <w:rPr>
          <w:rFonts w:ascii="Times New Roman" w:cs="Times New Roman" w:eastAsia="Times New Roman" w:hAnsi="Times New Roman"/>
          <w:b/>
          <w:bCs/>
          <w:color w:val="000000"/>
          <w:sz w:val="24"/>
          <w:szCs w:val="24"/>
        </w:rPr>
        <w:t xml:space="preserve">6.1 Contextual Criticality and AI Satisfaction (H1a, H1b)</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The results provide strong support for H1a: public satisfaction with AI is substantially and significantly lower in high-criticality contexts. The effect is large in substantive terms—a mean difference of approximately 0.5 scale points between risk strata, statistically confirmed by a highly significant Mann-Whitney U test (p &lt; .001). This finding is consistent with algorithmic aversion theory (Dietvorst et al., 2015), risk perception research (Slovic, 1987), and recent empirical work on AI resistance in high-stakes domains (Bigman &amp; Gray, 2018; Longoni et al., 2019). It confirms that the context in which AI is deployed is a first-order determinant of public satisfaction, likely more influential than individual demographic characteristics alone.</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Partial support is found for H1b. The predicted ordering—Healthcare &lt; Finance &lt; Education—is confirmed for the three focal domains specified in the hypothesis. Healthcare yields the lowest mean satisfaction (M = 2.15), followed by finance (M = 2.53), while education and service cluster near the hypothesized high end (M ≈ 3.05–3.07). The unexpected finding is the position of hiring (M = 3.00), which is statistically indistinguishable from education and service despite its a priori classification as a high-risk domain. This suggests that respondents may perceive AI in hiring as less personally threatening or more legitimate than its risk classification implies—possibly reflecting familiarity with automated applicant tracking systems, or a belief that human oversight remains meaningful in hiring contexts. This finding invites refinement of risk-typology frameworks to consider perceived domain controllability and prior exposure, not only objective stake levels.</w:t>
      </w:r>
    </w:p>
    <w:p>
      <w:pPr>
        <w:pStyle w:val="Heading2"/>
        <w:spacing w:after="120" w:before="280"/>
      </w:pPr>
      <w:r>
        <w:rPr>
          <w:rFonts w:ascii="Times New Roman" w:cs="Times New Roman" w:eastAsia="Times New Roman" w:hAnsi="Times New Roman"/>
          <w:b/>
          <w:bCs/>
          <w:color w:val="000000"/>
          <w:sz w:val="24"/>
          <w:szCs w:val="24"/>
        </w:rPr>
        <w:t xml:space="preserve">6.2 Age, Education, and AI Satisfaction (H2a, H2b)</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H2a, which predicted a negative association between age and AI satisfaction, is not supported. Across both domain-specific and pooled models, the age coefficient is positive, approaching but not reaching significance in the pooled main-effects model (β = 0.028, p = .064). A positive association would imply that older respondents express modestly higher satisfaction—a pattern that contradicts the digital-divide prediction but is consistent with an alternative account: namely, that older adults hold more pragmatic expectations toward AI, having lived through longer cycles of technological change, and are less troubled by AI limitations relative to the idealized human standards they have also witnessed failing. It should be noted, however, that the sample skews young (M = 23.3 years), limiting statistical power to detect age effects and rendering generalizations to older populations tentative.</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H2b, which predicted a positive association between educational attainment and AI satisfaction, is also not supported—indeed, the direction is reversed. The pooled model shows education is negatively and significantly associated with satisfaction (β = −0.199, p = .021). This finding is consistent with the 'informed skepticism' thesis (O'Neil, 2016): more educated individuals may have greater awareness of AI risks, biases, and the structural limitations of current systems, leading them to hold higher critical expectations and consequently report lower satisfaction when those expectations are unmet. The heatmap in Figure 8 corroborates this pattern, with the highest satisfaction values observed among SSC-level respondents (M = 3.73–4.00 across domains) and a generally declining gradient as education increases. This finding has important practical implications: AI communication and interface design strategies aimed at educated users may need to explicitly address bias, explainability, and accountability concerns rather than emphasizing capability and convenience.</w:t>
      </w:r>
    </w:p>
    <w:p>
      <w:pPr>
        <w:pStyle w:val="Heading2"/>
        <w:spacing w:after="120" w:before="280"/>
      </w:pPr>
      <w:r>
        <w:rPr>
          <w:rFonts w:ascii="Times New Roman" w:cs="Times New Roman" w:eastAsia="Times New Roman" w:hAnsi="Times New Roman"/>
          <w:b/>
          <w:bCs/>
          <w:color w:val="000000"/>
          <w:sz w:val="24"/>
          <w:szCs w:val="24"/>
        </w:rPr>
        <w:t xml:space="preserve">6.3 Demographic Moderation of Risk Context (H3a, H3b)</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Neither H3a nor H3b receives empirical support. The Age × Risk and Education × Risk interaction terms are non-significant across all model specifications (LRT p = .115 and p = .337 respectively), and the addition of interaction terms increases AIC, indicating overfitting. This result implies that the effects of age and education on satisfaction are parallel—not crossing—across risk strata: older respondents express modestly higher (or equivalent) satisfaction in both high- and low-risk domains, and more educated respondents express lower satisfaction across all domains without differential amplification in high-risk contexts.</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The absence of interaction effects may reflect genuine parallelism, or may result from statistical power constraints in a sample of N = 220, particularly given the sparse representation at extreme education levels (SSC: n = 4; PhD: n = 6). Future research with larger and more educationally diverse samples is needed to definitively test these moderation hypotheses. Figures 5 and 6, depicting predicted probabilities of high satisfaction (≥ 4) across age and education levels by risk context, visually confirm the approximately parallel trajectories.</w:t>
      </w:r>
    </w:p>
    <w:p>
      <w:pPr>
        <w:pStyle w:val="Heading2"/>
        <w:spacing w:after="120" w:before="280"/>
      </w:pPr>
      <w:r>
        <w:rPr>
          <w:rFonts w:ascii="Times New Roman" w:cs="Times New Roman" w:eastAsia="Times New Roman" w:hAnsi="Times New Roman"/>
          <w:b/>
          <w:bCs/>
          <w:color w:val="000000"/>
          <w:sz w:val="24"/>
          <w:szCs w:val="24"/>
        </w:rPr>
        <w:t xml:space="preserve">6.4 Implications</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Theoretically, these findings complicate the prevailing narrative that age-based AI skepticism is a reliable constraint on AI satisfaction: in a population with relatively high AI exposure and younger age profile, older respondents express no less—and arguably slightly more—satisfaction. The negative education–satisfaction relationship is a more novel and practically consequential finding, suggesting that AI literacy and critical awareness operate through skepticism as much as through appreciation. These findings suggest that researchers should disaggregate 'AI attitudes' more carefully, distinguishing acceptance from satisfaction, and controlling for domain criticality before drawing generalizations about demographic predictors.</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Practically, the strong contextual effect documented here implies that AI deployers in healthcare and banking face a fundamentally different public opinion environment than those in education or customer service. Interventions aimed at increasing satisfaction in high-criticality domains may need to address perceived stakes and controllability directly—for instance, by emphasizing human-in-the-loop oversight, providing explainability for algorithmic outputs, and offering meaningful appeals mechanisms. For educated users specifically, transparency about algorithmic limitations and ethical safeguards may be more effective than capability-focused messaging.</w:t>
      </w:r>
    </w:p>
    <w:p>
      <w:pPr>
        <w:pStyle w:val="Heading1"/>
        <w:spacing w:after="160" w:before="400"/>
      </w:pPr>
      <w:r>
        <w:rPr>
          <w:rFonts w:ascii="Times New Roman" w:cs="Times New Roman" w:eastAsia="Times New Roman" w:hAnsi="Times New Roman"/>
          <w:b/>
          <w:bCs/>
          <w:caps/>
          <w:color w:val="000000"/>
          <w:sz w:val="28"/>
          <w:szCs w:val="28"/>
        </w:rPr>
        <w:t xml:space="preserve">7. Conclusion</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This study demonstrates that decision-context criticality is the dominant shaper of public AI satisfaction, with high-risk domains (healthcare, finance) eliciting substantially lower satisfaction than low-risk domains (education, service), a pattern consistent with risk perception and algorithmic aversion theory. Demographic effects are smaller and directionally unexpected: older respondents exhibit marginally higher—not lower—satisfaction, while more educated respondents are significantly less satisfied, consistent with an informed skepticism account. Neither demographic moderates the risk-context effect. These findings enrich the literature on AI acceptance and provide practical guidance for AI communication strategy in diverse institutional contexts.</w:t>
      </w:r>
    </w:p>
    <w:p>
      <w:pPr>
        <w:spacing w:after="160" w:before="0" w:line="360" w:lineRule="auto"/>
        <w:jc w:val="both"/>
      </w:pPr>
      <w:r>
        <w:rPr>
          <w:rFonts w:ascii="Times New Roman" w:cs="Times New Roman" w:eastAsia="Times New Roman" w:hAnsi="Times New Roman"/>
          <w:b w:val="false"/>
          <w:bCs w:val="false"/>
          <w:color w:val="000000"/>
          <w:sz w:val="24"/>
          <w:szCs w:val="24"/>
        </w:rPr>
        <w:t xml:space="preserve">Several limitations should be acknowledged. The sample is demographically concentrated among young adults with relatively high AI exposure, limiting generalizability to older or less digitally engaged populations. The cross-sectional design precludes causal inference. Domain satisfaction is measured with single items, which may introduce measurement error. The absence of formal Brant test software requires the proportional-odds assumption to be evaluated heuristically. Future research should employ larger, nationally representative samples; longitudinal designs to track satisfaction as AI adoption evolves; and multi-item satisfaction scales validated psychometrically for AI contexts. Attention to cultural and institutional variation in risk perception will also be essential for extending these findings beyond the current sample context.</w:t>
      </w:r>
    </w:p>
    <w:p>
      <w:pPr>
        <w:pStyle w:val="Heading1"/>
        <w:spacing w:after="160" w:before="400"/>
      </w:pPr>
      <w:r>
        <w:rPr>
          <w:rFonts w:ascii="Times New Roman" w:cs="Times New Roman" w:eastAsia="Times New Roman" w:hAnsi="Times New Roman"/>
          <w:b/>
          <w:bCs/>
          <w:caps/>
          <w:color w:val="000000"/>
          <w:sz w:val="28"/>
          <w:szCs w:val="28"/>
        </w:rPr>
        <w:t xml:space="preserve">References</w:t>
      </w:r>
    </w:p>
    <w:p>
      <w:pPr>
        <w:spacing w:after="120" w:before="0" w:line="360" w:lineRule="auto"/>
        <w:ind w:left="720" w:hanging="720"/>
        <w:jc w:val="both"/>
      </w:pPr>
      <w:r>
        <w:rPr>
          <w:rFonts w:ascii="Times New Roman" w:cs="Times New Roman" w:eastAsia="Times New Roman" w:hAnsi="Times New Roman"/>
          <w:sz w:val="24"/>
          <w:szCs w:val="24"/>
        </w:rPr>
        <w:t xml:space="preserve">Bandura, A. (1997). Self-efficacy: The exercise of control. W. H. Freeman.</w:t>
      </w:r>
    </w:p>
    <w:p>
      <w:pPr>
        <w:spacing w:after="120" w:before="0" w:line="360" w:lineRule="auto"/>
        <w:ind w:left="720" w:hanging="720"/>
        <w:jc w:val="both"/>
      </w:pPr>
      <w:r>
        <w:rPr>
          <w:rFonts w:ascii="Times New Roman" w:cs="Times New Roman" w:eastAsia="Times New Roman" w:hAnsi="Times New Roman"/>
          <w:sz w:val="24"/>
          <w:szCs w:val="24"/>
        </w:rPr>
        <w:t xml:space="preserve">Bigman, Y. E., &amp; Gray, K. (2018). People are averse to machines making moral decisions. Cognition, 181, 21–34. https://doi.org/10.1016/j.cognition.2018.08.003</w:t>
      </w:r>
    </w:p>
    <w:p>
      <w:pPr>
        <w:spacing w:after="120" w:before="0" w:line="360" w:lineRule="auto"/>
        <w:ind w:left="720" w:hanging="720"/>
        <w:jc w:val="both"/>
      </w:pPr>
      <w:r>
        <w:rPr>
          <w:rFonts w:ascii="Times New Roman" w:cs="Times New Roman" w:eastAsia="Times New Roman" w:hAnsi="Times New Roman"/>
          <w:sz w:val="24"/>
          <w:szCs w:val="24"/>
        </w:rPr>
        <w:t xml:space="preserve">Cheng, X., Zhang, X., Cohen, J., &amp; Mou, J. (2022). Human vs. AI: Understanding the impact of anthropomorphism on consumer response to chatbots from the perspective of trust and relationship norms. Information Processing &amp; Management, 59(3), 102940. https://doi.org/10.1016/j.ipm.2022.102940</w:t>
      </w:r>
    </w:p>
    <w:p>
      <w:pPr>
        <w:spacing w:after="120" w:before="0" w:line="360" w:lineRule="auto"/>
        <w:ind w:left="720" w:hanging="720"/>
        <w:jc w:val="both"/>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 https://doi.org/10.2307/249008</w:t>
      </w:r>
    </w:p>
    <w:p>
      <w:pPr>
        <w:spacing w:after="120" w:before="0" w:line="360" w:lineRule="auto"/>
        <w:ind w:left="720" w:hanging="720"/>
        <w:jc w:val="both"/>
      </w:pPr>
      <w:r>
        <w:rPr>
          <w:rFonts w:ascii="Times New Roman" w:cs="Times New Roman" w:eastAsia="Times New Roman" w:hAnsi="Times New Roman"/>
          <w:sz w:val="24"/>
          <w:szCs w:val="24"/>
        </w:rPr>
        <w:t xml:space="preserve">Dietvorst, B. J., Logg, J. M., &amp; Logg, J. M. (2015). Algorithm aversion: People erroneously avoid algorithms after seeing them err. Journal of Experimental Psychology: General, 144(1), 114–126. https://doi.org/10.1037/xge0000033</w:t>
      </w:r>
    </w:p>
    <w:p>
      <w:pPr>
        <w:spacing w:after="120" w:before="0" w:line="360" w:lineRule="auto"/>
        <w:ind w:left="720" w:hanging="720"/>
        <w:jc w:val="both"/>
      </w:pPr>
      <w:r>
        <w:rPr>
          <w:rFonts w:ascii="Times New Roman" w:cs="Times New Roman" w:eastAsia="Times New Roman" w:hAnsi="Times New Roman"/>
          <w:sz w:val="24"/>
          <w:szCs w:val="24"/>
        </w:rPr>
        <w:t xml:space="preserve">Heerink, M., Kröse, B., Evers, V., &amp; Wielinga, B. (2010). Assessing acceptance of assistive social agent technology by older adults: The Almere model. International Journal of Social Robotics, 2(4), 361–375. https://doi.org/10.1007/s12369-010-0068-5</w:t>
      </w:r>
    </w:p>
    <w:p>
      <w:pPr>
        <w:spacing w:after="120" w:before="0" w:line="360" w:lineRule="auto"/>
        <w:ind w:left="720" w:hanging="720"/>
        <w:jc w:val="both"/>
      </w:pPr>
      <w:r>
        <w:rPr>
          <w:rFonts w:ascii="Times New Roman" w:cs="Times New Roman" w:eastAsia="Times New Roman" w:hAnsi="Times New Roman"/>
          <w:sz w:val="24"/>
          <w:szCs w:val="24"/>
        </w:rPr>
        <w:t xml:space="preserve">Lee, M. K. (2018). Understanding perception of algorithmic decisions: Fairness, trust, and emotion in response to algorithmic management. Big Data &amp; Society, 5(1). https://doi.org/10.1177/2053951718756684</w:t>
      </w:r>
    </w:p>
    <w:p>
      <w:pPr>
        <w:spacing w:after="120" w:before="0" w:line="360" w:lineRule="auto"/>
        <w:ind w:left="720" w:hanging="720"/>
        <w:jc w:val="both"/>
      </w:pPr>
      <w:r>
        <w:rPr>
          <w:rFonts w:ascii="Times New Roman" w:cs="Times New Roman" w:eastAsia="Times New Roman" w:hAnsi="Times New Roman"/>
          <w:sz w:val="24"/>
          <w:szCs w:val="24"/>
        </w:rPr>
        <w:t xml:space="preserve">Logg, J. M., Minson, J. A., &amp; Moore, D. A. (2019). Algorithm appreciation: People prefer algorithmic to human judgment. Organizational Behavior and Human Decision Processes, 151, 90–103. https://doi.org/10.1016/j.obhdp.2018.12.005</w:t>
      </w:r>
    </w:p>
    <w:p>
      <w:pPr>
        <w:spacing w:after="120" w:before="0" w:line="360" w:lineRule="auto"/>
        <w:ind w:left="720" w:hanging="720"/>
        <w:jc w:val="both"/>
      </w:pPr>
      <w:r>
        <w:rPr>
          <w:rFonts w:ascii="Times New Roman" w:cs="Times New Roman" w:eastAsia="Times New Roman" w:hAnsi="Times New Roman"/>
          <w:sz w:val="24"/>
          <w:szCs w:val="24"/>
        </w:rPr>
        <w:t xml:space="preserve">Long, D., &amp; Magerko, B. (2020). What is AI literacy? Competencies and design considerations. In Proceedings of the 2020 CHI Conference on Human Factors in Computing Systems (pp. 1–16). ACM. https://doi.org/10.1145/3313831.3376727</w:t>
      </w:r>
    </w:p>
    <w:p>
      <w:pPr>
        <w:spacing w:after="120" w:before="0" w:line="360" w:lineRule="auto"/>
        <w:ind w:left="720" w:hanging="720"/>
        <w:jc w:val="both"/>
      </w:pPr>
      <w:r>
        <w:rPr>
          <w:rFonts w:ascii="Times New Roman" w:cs="Times New Roman" w:eastAsia="Times New Roman" w:hAnsi="Times New Roman"/>
          <w:sz w:val="24"/>
          <w:szCs w:val="24"/>
        </w:rPr>
        <w:t xml:space="preserve">Longoni, C., Bonezzi, A., &amp; Morewedge, C. K. (2019). Resistance to medical artificial intelligence. Journal of Consumer Research, 46(4), 629–650. https://doi.org/10.1093/jcr/ucz013</w:t>
      </w:r>
    </w:p>
    <w:p>
      <w:pPr>
        <w:spacing w:after="120" w:before="0" w:line="360" w:lineRule="auto"/>
        <w:ind w:left="720" w:hanging="720"/>
        <w:jc w:val="both"/>
      </w:pPr>
      <w:r>
        <w:rPr>
          <w:rFonts w:ascii="Times New Roman" w:cs="Times New Roman" w:eastAsia="Times New Roman" w:hAnsi="Times New Roman"/>
          <w:sz w:val="24"/>
          <w:szCs w:val="24"/>
        </w:rPr>
        <w:t xml:space="preserve">Mayer, R. C., Davis, J. H., &amp; Schoorman, F. D. (1995). An integrative model of organizational trust. Academy of Management Review, 20(3), 709–734. https://doi.org/10.2307/258792</w:t>
      </w:r>
    </w:p>
    <w:p>
      <w:pPr>
        <w:spacing w:after="120" w:before="0" w:line="360" w:lineRule="auto"/>
        <w:ind w:left="720" w:hanging="720"/>
        <w:jc w:val="both"/>
      </w:pPr>
      <w:r>
        <w:rPr>
          <w:rFonts w:ascii="Times New Roman" w:cs="Times New Roman" w:eastAsia="Times New Roman" w:hAnsi="Times New Roman"/>
          <w:sz w:val="24"/>
          <w:szCs w:val="24"/>
        </w:rPr>
        <w:t xml:space="preserve">McCullagh, P. (1980). Regression models for ordinal data. Journal of the Royal Statistical Society: Series B (Methodological), 42(2), 109–127. https://doi.org/10.1111/j.2517-6161.1980.tb01109.x</w:t>
      </w:r>
    </w:p>
    <w:p>
      <w:pPr>
        <w:spacing w:after="120" w:before="0" w:line="360" w:lineRule="auto"/>
        <w:ind w:left="720" w:hanging="720"/>
        <w:jc w:val="both"/>
      </w:pPr>
      <w:r>
        <w:rPr>
          <w:rFonts w:ascii="Times New Roman" w:cs="Times New Roman" w:eastAsia="Times New Roman" w:hAnsi="Times New Roman"/>
          <w:sz w:val="24"/>
          <w:szCs w:val="24"/>
        </w:rPr>
        <w:t xml:space="preserve">Mitzner, T. L., Boron, J. B., Fausset, C. B., Adams, A. E., Charness, N., Czaja, S. J., Dijkstra, K., Fisk, A. D., Rogers, W. A., &amp; Sharit, J. (2010). Older adults talk technology: Technology usage and attitudes. Computers in Human Behavior, 26(6), 1710–1721. https://doi.org/10.1016/j.chb.2010.06.020</w:t>
      </w:r>
    </w:p>
    <w:p>
      <w:pPr>
        <w:spacing w:after="120" w:before="0" w:line="360" w:lineRule="auto"/>
        <w:ind w:left="720" w:hanging="720"/>
        <w:jc w:val="both"/>
      </w:pPr>
      <w:r>
        <w:rPr>
          <w:rFonts w:ascii="Times New Roman" w:cs="Times New Roman" w:eastAsia="Times New Roman" w:hAnsi="Times New Roman"/>
          <w:sz w:val="24"/>
          <w:szCs w:val="24"/>
        </w:rPr>
        <w:t xml:space="preserve">Obermeyer, Z., &amp; Emanuel, E. J. (2016). Predicting the future — Big data, machine learning, and clinical medicine. New England Journal of Medicine, 375(13), 1216–1219. https://doi.org/10.1056/NEJMp1606181</w:t>
      </w:r>
    </w:p>
    <w:p>
      <w:pPr>
        <w:spacing w:after="120" w:before="0" w:line="360" w:lineRule="auto"/>
        <w:ind w:left="720" w:hanging="720"/>
        <w:jc w:val="both"/>
      </w:pPr>
      <w:r>
        <w:rPr>
          <w:rFonts w:ascii="Times New Roman" w:cs="Times New Roman" w:eastAsia="Times New Roman" w:hAnsi="Times New Roman"/>
          <w:sz w:val="24"/>
          <w:szCs w:val="24"/>
        </w:rPr>
        <w:t xml:space="preserve">Oliver, R. L. (1980). A cognitive model of the antecedents and consequences of satisfaction decisions. Journal of Marketing Research, 17(4), 460–469. https://doi.org/10.1177/002224378001700405</w:t>
      </w:r>
    </w:p>
    <w:p>
      <w:pPr>
        <w:spacing w:after="120" w:before="0" w:line="360" w:lineRule="auto"/>
        <w:ind w:left="720" w:hanging="720"/>
        <w:jc w:val="both"/>
      </w:pPr>
      <w:r>
        <w:rPr>
          <w:rFonts w:ascii="Times New Roman" w:cs="Times New Roman" w:eastAsia="Times New Roman" w:hAnsi="Times New Roman"/>
          <w:sz w:val="24"/>
          <w:szCs w:val="24"/>
        </w:rPr>
        <w:t xml:space="preserve">O'Neil, C. (2016). Weapons of math destruction: How big data increases inequality and threatens democracy. Crown.</w:t>
      </w:r>
    </w:p>
    <w:p>
      <w:pPr>
        <w:spacing w:after="120" w:before="0" w:line="360" w:lineRule="auto"/>
        <w:ind w:left="720" w:hanging="720"/>
        <w:jc w:val="both"/>
      </w:pPr>
      <w:r>
        <w:rPr>
          <w:rFonts w:ascii="Times New Roman" w:cs="Times New Roman" w:eastAsia="Times New Roman" w:hAnsi="Times New Roman"/>
          <w:sz w:val="24"/>
          <w:szCs w:val="24"/>
        </w:rPr>
        <w:t xml:space="preserve">R Core Team. (2024). R: A language and environment for statistical computing. R Foundation for Statistical Computing. https://www.R-project.org/</w:t>
      </w:r>
    </w:p>
    <w:p>
      <w:pPr>
        <w:spacing w:after="120" w:before="0" w:line="360" w:lineRule="auto"/>
        <w:ind w:left="720" w:hanging="720"/>
        <w:jc w:val="both"/>
      </w:pPr>
      <w:r>
        <w:rPr>
          <w:rFonts w:ascii="Times New Roman" w:cs="Times New Roman" w:eastAsia="Times New Roman" w:hAnsi="Times New Roman"/>
          <w:sz w:val="24"/>
          <w:szCs w:val="24"/>
        </w:rPr>
        <w:t xml:space="preserve">Ragnedda, M., &amp; Muschert, G. W. (Eds.). (2013). The digital divide: The internet and social inequality in international perspective. Routledge.</w:t>
      </w:r>
    </w:p>
    <w:p>
      <w:pPr>
        <w:spacing w:after="120" w:before="0" w:line="360" w:lineRule="auto"/>
        <w:ind w:left="720" w:hanging="720"/>
        <w:jc w:val="both"/>
      </w:pPr>
      <w:r>
        <w:rPr>
          <w:rFonts w:ascii="Times New Roman" w:cs="Times New Roman" w:eastAsia="Times New Roman" w:hAnsi="Times New Roman"/>
          <w:sz w:val="24"/>
          <w:szCs w:val="24"/>
        </w:rPr>
        <w:t xml:space="preserve">Slovic, P. (1987). Perception of risk. Science, 236(4799), 280–285. https://doi.org/10.1126/science.3563507</w:t>
      </w:r>
    </w:p>
    <w:p>
      <w:pPr>
        <w:spacing w:after="120" w:before="0" w:line="360" w:lineRule="auto"/>
        <w:ind w:left="720" w:hanging="720"/>
        <w:jc w:val="both"/>
      </w:pPr>
      <w:r>
        <w:rPr>
          <w:rFonts w:ascii="Times New Roman" w:cs="Times New Roman" w:eastAsia="Times New Roman" w:hAnsi="Times New Roman"/>
          <w:sz w:val="24"/>
          <w:szCs w:val="24"/>
        </w:rPr>
        <w:t xml:space="preserve">Taddeo, M., &amp; Floridi, L. (2018). How AI can be a force for good. Science, 361(6404), 751–752. https://doi.org/10.1126/science.aat5991</w:t>
      </w:r>
    </w:p>
    <w:p>
      <w:pPr>
        <w:spacing w:after="120" w:before="0" w:line="360" w:lineRule="auto"/>
        <w:ind w:left="720" w:hanging="720"/>
        <w:jc w:val="both"/>
      </w:pPr>
      <w:r>
        <w:rPr>
          <w:rFonts w:ascii="Times New Roman" w:cs="Times New Roman" w:eastAsia="Times New Roman" w:hAnsi="Times New Roman"/>
          <w:sz w:val="24"/>
          <w:szCs w:val="24"/>
        </w:rPr>
        <w:t xml:space="preserve">van Dijk, J. (2020). The digital divide. Polity Press.</w:t>
      </w:r>
    </w:p>
    <w:p>
      <w:pPr>
        <w:spacing w:after="120" w:before="0" w:line="360" w:lineRule="auto"/>
        <w:ind w:left="720" w:hanging="720"/>
        <w:jc w:val="both"/>
      </w:pPr>
      <w:r>
        <w:rPr>
          <w:rFonts w:ascii="Times New Roman" w:cs="Times New Roman" w:eastAsia="Times New Roman" w:hAnsi="Times New Roman"/>
          <w:sz w:val="24"/>
          <w:szCs w:val="24"/>
        </w:rPr>
        <w:t xml:space="preserve">Veale, M., &amp; Brass, I. (2019). Administration by algorithm? Public management meets public sector machine learning. In K. Yeung &amp; M. Lodge (Eds.), Algorithmic regulation (pp. 121–149). Oxford University Press.</w:t>
      </w:r>
    </w:p>
    <w:p>
      <w:pPr>
        <w:spacing w:after="120" w:before="0" w:line="360" w:lineRule="auto"/>
        <w:ind w:left="720" w:hanging="720"/>
        <w:jc w:val="both"/>
      </w:pPr>
      <w:r>
        <w:rPr>
          <w:rFonts w:ascii="Times New Roman" w:cs="Times New Roman" w:eastAsia="Times New Roman" w:hAnsi="Times New Roman"/>
          <w:sz w:val="24"/>
          <w:szCs w:val="24"/>
        </w:rPr>
        <w:t xml:space="preserve">Venkatesh, V., Morris, M. G., Davis, G. B., &amp; Davis, F. D. (2003). User acceptance of information technology: Toward a unified view. MIS Quarterly, 27(3), 425–478. https://doi.org/10.2307/30036540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color w:val="444444"/>
        <w:sz w:val="18"/>
        <w:szCs w:val="18"/>
      </w:rPr>
      <w:t xml:space="preserve">PUBLIC SATISFACTION WITH AI: AN ORDINAL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2026-05-03T23:32:19.886Z</dcterms:created>
  <dcterms:modified xsi:type="dcterms:W3CDTF">2026-05-03T23:32:19.886Z</dcterms:modified>
</cp:coreProperties>
</file>

<file path=docProps/custom.xml><?xml version="1.0" encoding="utf-8"?>
<Properties xmlns="http://schemas.openxmlformats.org/officeDocument/2006/custom-properties" xmlns:vt="http://schemas.openxmlformats.org/officeDocument/2006/docPropsVTypes"/>
</file>