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Principles of Poisoning Management in Children</w:t>
      </w:r>
    </w:p>
    <w:p>
      <w:pPr>
        <w:jc w:val="center"/>
      </w:pPr>
      <w:r>
        <w:rPr>
          <w:i/>
          <w:sz w:val="24"/>
        </w:rPr>
        <w:t>Algorithmic Approach – Adapted for Resource-Limited Settings (Updated 2025)</w:t>
      </w:r>
    </w:p>
    <w:p/>
    <w:p>
      <w:pPr>
        <w:pStyle w:val="Heading1"/>
      </w:pPr>
      <w:r>
        <w:t>Initial Approach (All Cases Suspected of Poisoning)</w:t>
      </w:r>
    </w:p>
    <w:p>
      <w:pPr>
        <w:pStyle w:val="ListBullet"/>
      </w:pPr>
      <w:r>
        <w:t>Prioritize ABCD (Airway, Breathing, Circulation, Disability/Exposure).</w:t>
      </w:r>
    </w:p>
    <w:p>
      <w:pPr>
        <w:pStyle w:val="ListBullet"/>
      </w:pPr>
      <w:r>
        <w:t>Secure airway if GCS &lt;8, excessive secretions, or aspiration risk (consider endotracheal intubation).</w:t>
      </w:r>
    </w:p>
    <w:p>
      <w:pPr>
        <w:pStyle w:val="ListBullet"/>
      </w:pPr>
      <w:r>
        <w:t>Check and correct hypoglycemia immediately (blood glucose in all cases).</w:t>
      </w:r>
    </w:p>
    <w:p>
      <w:pPr>
        <w:pStyle w:val="ListBullet"/>
      </w:pPr>
      <w:r>
        <w:t>Provide oxygen, establish IV access, hemodynamic support, seizure control, and temperature management.</w:t>
      </w:r>
    </w:p>
    <w:p>
      <w:pPr>
        <w:pStyle w:val="ListBullet"/>
      </w:pPr>
      <w:r>
        <w:t>Supportive care remains the cornerstone of management.</w:t>
      </w:r>
    </w:p>
    <w:p>
      <w:pPr>
        <w:pStyle w:val="Heading2"/>
      </w:pPr>
      <w:r>
        <w:t>History &amp; Focused Examination</w:t>
      </w:r>
    </w:p>
    <w:p>
      <w:pPr>
        <w:pStyle w:val="ListBullet"/>
      </w:pPr>
      <w:r>
        <w:t>Obtain details: substance, amount/dose, time since exposure, route, co-ingestants, intent.</w:t>
      </w:r>
    </w:p>
    <w:p>
      <w:pPr>
        <w:pStyle w:val="ListBullet"/>
      </w:pPr>
      <w:r>
        <w:t>Identify toxidrome (opioid, cholinergic, anticholinergic, sympathomimetic, sedative-hypnotic, etc.).</w:t>
      </w:r>
    </w:p>
    <w:p>
      <w:pPr>
        <w:pStyle w:val="ListBullet"/>
      </w:pPr>
      <w:r>
        <w:t>Document accurate weight for all dose calculations.</w:t>
      </w:r>
    </w:p>
    <w:p>
      <w:pPr>
        <w:pStyle w:val="Heading2"/>
      </w:pPr>
      <w:r>
        <w:t>Immediate Investigations</w:t>
      </w:r>
    </w:p>
    <w:p>
      <w:pPr>
        <w:pStyle w:val="ListBullet"/>
      </w:pPr>
      <w:r>
        <w:t>Bedside: blood glucose, pulse oximetry, ECG.</w:t>
      </w:r>
    </w:p>
    <w:p>
      <w:pPr>
        <w:pStyle w:val="ListBullet"/>
      </w:pPr>
      <w:r>
        <w:t>If available: arterial/capillary blood gas, basic metabolic panel.</w:t>
      </w:r>
    </w:p>
    <w:p>
      <w:pPr>
        <w:pStyle w:val="ListBullet"/>
      </w:pPr>
      <w:r>
        <w:t>Specific toxin levels only if clinically indicated and feasible.</w:t>
      </w:r>
    </w:p>
    <w:p>
      <w:pPr>
        <w:pStyle w:val="ListBullet"/>
      </w:pPr>
      <w:r>
        <w:t>Contact poison control center/toxicologist early (if service available).</w:t>
      </w:r>
    </w:p>
    <w:p>
      <w:pPr>
        <w:pStyle w:val="Heading2"/>
      </w:pPr>
      <w:r>
        <w:t>Risk Assessment</w:t>
      </w:r>
    </w:p>
    <w:p>
      <w:pPr/>
      <w:r>
        <w:t>Evaluate potential toxicity of exposure.</w:t>
        <w:br/>
        <w:t>Decide need for decontamination, antidote, enhanced elimination, observation, or admission.</w:t>
      </w:r>
    </w:p>
    <w:p>
      <w:r>
        <w:br w:type="page"/>
      </w:r>
    </w:p>
    <w:p>
      <w:pPr>
        <w:pStyle w:val="Heading1"/>
      </w:pPr>
      <w:r>
        <w:t>Gastrointestinal Decontamination</w:t>
      </w:r>
    </w:p>
    <w:p>
      <w:pPr>
        <w:pStyle w:val="IntenseQuote"/>
      </w:pPr>
      <w:r>
        <w:t>(Use selectively – benefits must outweigh risks; never routine)</w:t>
      </w:r>
    </w:p>
    <w:p>
      <w:pPr>
        <w:pStyle w:val="Heading2"/>
      </w:pPr>
      <w:r>
        <w:t>Activated Charcoal (Preferred method when indicated)</w:t>
      </w:r>
    </w:p>
    <w:p>
      <w:pPr>
        <w:pStyle w:val="ListBullet"/>
      </w:pPr>
      <w:r>
        <w:t>Consider single dose if presentation within 1–2 hours of potentially toxic ingestion.</w:t>
      </w:r>
    </w:p>
    <w:p>
      <w:pPr>
        <w:pStyle w:val="ListBullet"/>
      </w:pPr>
      <w:r>
        <w:t>May consider later for sustained-release preparations or life-threatening toxins where benefit likely.</w:t>
      </w:r>
    </w:p>
    <w:p>
      <w:pPr>
        <w:pStyle w:val="ListBullet"/>
      </w:pPr>
      <w:r>
        <w:t>Dose: 0.5–1 g/kg (commonly 1 g/kg; maximum ~50 g in older children/adolescents).</w:t>
      </w:r>
    </w:p>
    <w:p>
      <w:pPr>
        <w:pStyle w:val="ListBullet"/>
      </w:pPr>
      <w:r>
        <w:t>Contraindications: unprotected airway (unless intubated), corrosives, hydrocarbons, iron, lithium, alcohols.</w:t>
      </w:r>
    </w:p>
    <w:p>
      <w:pPr>
        <w:pStyle w:val="ListBullet"/>
      </w:pPr>
      <w:r>
        <w:t>Multiple-dose activated charcoal: reserved for specific toxins (e.g., carbamazepine, theophylline, phenobarbital, dapsone) under specialist guidance.</w:t>
      </w:r>
    </w:p>
    <w:p>
      <w:pPr>
        <w:pStyle w:val="Heading2"/>
      </w:pPr>
      <w:r>
        <w:t>Gastric Lavage</w:t>
      </w:r>
    </w:p>
    <w:p>
      <w:pPr>
        <w:pStyle w:val="ListBullet"/>
      </w:pPr>
      <w:r>
        <w:t>Rarely indicated – avoid routine use.</w:t>
      </w:r>
    </w:p>
    <w:p>
      <w:pPr>
        <w:pStyle w:val="ListBullet"/>
      </w:pPr>
      <w:r>
        <w:t>Consider only in exceptional life-threatening cases presenting within ~1 hour (or up to 2 hours for sustained-release preparations) and only after airway protection.</w:t>
      </w:r>
    </w:p>
    <w:p>
      <w:pPr>
        <w:pStyle w:val="ListBullet"/>
      </w:pPr>
      <w:r>
        <w:t>Contraindications: corrosives, hydrocarbons, unprotected airway.</w:t>
      </w:r>
    </w:p>
    <w:p>
      <w:pPr>
        <w:pStyle w:val="Heading2"/>
      </w:pPr>
      <w:r>
        <w:t>Whole Bowel Irrigation (Polyethylene Glycol Electrolyte Solution)</w:t>
      </w:r>
    </w:p>
    <w:p>
      <w:pPr>
        <w:pStyle w:val="ListBullet"/>
      </w:pPr>
      <w:r>
        <w:t>Indications: sustained-release/enteric-coated drugs, toxins poorly adsorbed by charcoal (iron, lithium, lead), body packers/stuffers.</w:t>
      </w:r>
    </w:p>
    <w:p>
      <w:pPr>
        <w:pStyle w:val="ListBullet"/>
      </w:pPr>
      <w:r>
        <w:t>Rate: 25–40 mL/kg/hour (age/weight-adjusted); continue until rectal effluent clear.</w:t>
      </w:r>
    </w:p>
    <w:p>
      <w:pPr>
        <w:pStyle w:val="ListBullet"/>
      </w:pPr>
      <w:r>
        <w:t>Contraindications: bowel obstruction, ileus, unprotected airway.</w:t>
      </w:r>
    </w:p>
    <w:p>
      <w:pPr>
        <w:pStyle w:val="Heading2"/>
      </w:pPr>
      <w:r>
        <w:t>Other Decontamination</w:t>
      </w:r>
    </w:p>
    <w:p>
      <w:pPr>
        <w:pStyle w:val="ListBullet"/>
      </w:pPr>
      <w:r>
        <w:t>Induced emesis (ipecac): no role in hospital setting.</w:t>
      </w:r>
    </w:p>
    <w:p>
      <w:pPr>
        <w:pStyle w:val="ListBullet"/>
      </w:pPr>
      <w:r>
        <w:t>Dermal exposure: remove clothing, wash with soap and copious water ≥15 minutes.</w:t>
      </w:r>
    </w:p>
    <w:p>
      <w:pPr>
        <w:pStyle w:val="ListBullet"/>
      </w:pPr>
      <w:r>
        <w:t>Ocular exposure: irrigate with saline/water ≥15 minutes.</w:t>
      </w:r>
    </w:p>
    <w:p>
      <w:pPr>
        <w:pStyle w:val="Heading1"/>
      </w:pPr>
      <w:r>
        <w:t>Enhanced Elimination Techniques</w:t>
      </w:r>
    </w:p>
    <w:p>
      <w:pPr>
        <w:pStyle w:val="IntenseQuote"/>
      </w:pPr>
      <w:r>
        <w:t>(Specialist consultation recommended – follow EXTRIP guidelines where possible)</w:t>
      </w:r>
    </w:p>
    <w:p>
      <w:pPr>
        <w:pStyle w:val="ListBullet"/>
      </w:pPr>
      <w:r>
        <w:t>Hemodialysis: salicylates, methanol, ethylene glycol, lithium, severe valproate toxicity.</w:t>
      </w:r>
    </w:p>
    <w:p>
      <w:pPr>
        <w:pStyle w:val="ListBullet"/>
      </w:pPr>
      <w:r>
        <w:t>Urinary alkalinization: severe salicylate poisoning (target urine pH 7.5–8.0).</w:t>
      </w:r>
    </w:p>
    <w:p>
      <w:pPr>
        <w:pStyle w:val="ListBullet"/>
      </w:pPr>
      <w:r>
        <w:t>Hemoperfusion: rare; selected highly protein-bound toxins in specialized centers.</w:t>
      </w:r>
    </w:p>
    <w:p>
      <w:r>
        <w:br w:type="page"/>
      </w:r>
    </w:p>
    <w:p>
      <w:pPr>
        <w:pStyle w:val="Heading1"/>
      </w:pPr>
      <w:r>
        <w:t>Antidotes &amp; Targeted Therapy</w:t>
      </w:r>
    </w:p>
    <w:p>
      <w:pPr>
        <w:pStyle w:val="IntenseQuote"/>
      </w:pPr>
      <w:r>
        <w:t>(Administer promptly when indicated and 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Toxin / Toxidrome</w:t>
            </w:r>
          </w:p>
        </w:tc>
        <w:tc>
          <w:tcPr>
            <w:tcW w:type="dxa" w:w="3120"/>
          </w:tcPr>
          <w:p>
            <w:r>
              <w:t>Antidote / Specific Therapy</w:t>
            </w:r>
          </w:p>
        </w:tc>
        <w:tc>
          <w:tcPr>
            <w:tcW w:type="dxa" w:w="3120"/>
          </w:tcPr>
          <w:p>
            <w:r>
              <w:t>Key Notes</w:t>
            </w:r>
          </w:p>
        </w:tc>
      </w:tr>
      <w:tr>
        <w:tc>
          <w:tcPr>
            <w:tcW w:type="dxa" w:w="3120"/>
          </w:tcPr>
          <w:p>
            <w:r>
              <w:t>Acetaminophen</w:t>
            </w:r>
          </w:p>
        </w:tc>
        <w:tc>
          <w:tcPr>
            <w:tcW w:type="dxa" w:w="3120"/>
          </w:tcPr>
          <w:p>
            <w:r>
              <w:t>N-acetylcysteine (IV preferred)</w:t>
            </w:r>
          </w:p>
        </w:tc>
        <w:tc>
          <w:tcPr>
            <w:tcW w:type="dxa" w:w="3120"/>
          </w:tcPr>
          <w:p>
            <w:r>
              <w:t>Guided by Rumack-Matthew nomogram</w:t>
            </w:r>
          </w:p>
        </w:tc>
      </w:tr>
      <w:tr>
        <w:tc>
          <w:tcPr>
            <w:tcW w:type="dxa" w:w="3120"/>
          </w:tcPr>
          <w:p>
            <w:r>
              <w:t>Opioids</w:t>
            </w:r>
          </w:p>
        </w:tc>
        <w:tc>
          <w:tcPr>
            <w:tcW w:type="dxa" w:w="3120"/>
          </w:tcPr>
          <w:p>
            <w:r>
              <w:t>Naloxone (IV titrated)</w:t>
            </w:r>
          </w:p>
        </w:tc>
        <w:tc>
          <w:tcPr>
            <w:tcW w:type="dxa" w:w="3120"/>
          </w:tcPr>
          <w:p>
            <w:r>
              <w:t>Repeat doses for long-acting opioids</w:t>
            </w:r>
          </w:p>
        </w:tc>
      </w:tr>
      <w:tr>
        <w:tc>
          <w:tcPr>
            <w:tcW w:type="dxa" w:w="3120"/>
          </w:tcPr>
          <w:p>
            <w:r>
              <w:t>Organophosphates/Carbamates</w:t>
            </w:r>
          </w:p>
        </w:tc>
        <w:tc>
          <w:tcPr>
            <w:tcW w:type="dxa" w:w="3120"/>
          </w:tcPr>
          <w:p>
            <w:r>
              <w:t>Atropine + Pralidoxime</w:t>
            </w:r>
          </w:p>
        </w:tc>
        <w:tc>
          <w:tcPr>
            <w:tcW w:type="dxa" w:w="3120"/>
          </w:tcPr>
          <w:p>
            <w:r>
              <w:t>Atropine for secretions first</w:t>
            </w:r>
          </w:p>
        </w:tc>
      </w:tr>
      <w:tr>
        <w:tc>
          <w:tcPr>
            <w:tcW w:type="dxa" w:w="3120"/>
          </w:tcPr>
          <w:p>
            <w:r>
              <w:t>Benzodiazepines</w:t>
            </w:r>
          </w:p>
        </w:tc>
        <w:tc>
          <w:tcPr>
            <w:tcW w:type="dxa" w:w="3120"/>
          </w:tcPr>
          <w:p>
            <w:r>
              <w:t>Flumazenil</w:t>
            </w:r>
          </w:p>
        </w:tc>
        <w:tc>
          <w:tcPr>
            <w:tcW w:type="dxa" w:w="3120"/>
          </w:tcPr>
          <w:p>
            <w:r>
              <w:t>Rarely used in children (seizure risk)</w:t>
            </w:r>
          </w:p>
        </w:tc>
      </w:tr>
      <w:tr>
        <w:tc>
          <w:tcPr>
            <w:tcW w:type="dxa" w:w="3120"/>
          </w:tcPr>
          <w:p>
            <w:r>
              <w:t>Methanol/Ethylene Glycol</w:t>
            </w:r>
          </w:p>
        </w:tc>
        <w:tc>
          <w:tcPr>
            <w:tcW w:type="dxa" w:w="3120"/>
          </w:tcPr>
          <w:p>
            <w:r>
              <w:t>Fomepizole (preferred) or Ethanol + Dialysis</w:t>
            </w:r>
          </w:p>
        </w:tc>
        <w:tc>
          <w:tcPr>
            <w:tcW w:type="dxa" w:w="3120"/>
          </w:tcPr>
          <w:p>
            <w:r>
              <w:t>If fomepizole unavailable</w:t>
            </w:r>
          </w:p>
        </w:tc>
      </w:tr>
      <w:tr>
        <w:tc>
          <w:tcPr>
            <w:tcW w:type="dxa" w:w="3120"/>
          </w:tcPr>
          <w:p>
            <w:r>
              <w:t>Beta-blockers/Calcium channel blockers</w:t>
            </w:r>
          </w:p>
        </w:tc>
        <w:tc>
          <w:tcPr>
            <w:tcW w:type="dxa" w:w="3120"/>
          </w:tcPr>
          <w:p>
            <w:r>
              <w:t>High-dose insulin-euglycemia therapy</w:t>
            </w:r>
          </w:p>
        </w:tc>
        <w:tc>
          <w:tcPr>
            <w:tcW w:type="dxa" w:w="3120"/>
          </w:tcPr>
          <w:p>
            <w:r>
              <w:t>Plus calcium, glucagon, lipid emulsion as needed</w:t>
            </w:r>
          </w:p>
        </w:tc>
      </w:tr>
      <w:tr>
        <w:tc>
          <w:tcPr>
            <w:tcW w:type="dxa" w:w="3120"/>
          </w:tcPr>
          <w:p>
            <w:r>
              <w:t>Sulfonylureas</w:t>
            </w:r>
          </w:p>
        </w:tc>
        <w:tc>
          <w:tcPr>
            <w:tcW w:type="dxa" w:w="3120"/>
          </w:tcPr>
          <w:p>
            <w:r>
              <w:t>Octreotide</w:t>
            </w:r>
          </w:p>
        </w:tc>
        <w:tc>
          <w:tcPr>
            <w:tcW w:type="dxa" w:w="3120"/>
          </w:tcPr>
          <w:p>
            <w:r>
              <w:t>For refractory hypoglycemia</w:t>
            </w:r>
          </w:p>
        </w:tc>
      </w:tr>
      <w:tr>
        <w:tc>
          <w:tcPr>
            <w:tcW w:type="dxa" w:w="3120"/>
          </w:tcPr>
          <w:p>
            <w:r>
              <w:t>Digoxin</w:t>
            </w:r>
          </w:p>
        </w:tc>
        <w:tc>
          <w:tcPr>
            <w:tcW w:type="dxa" w:w="3120"/>
          </w:tcPr>
          <w:p>
            <w:r>
              <w:t>Digoxin-specific antibody fragments</w:t>
            </w:r>
          </w:p>
        </w:tc>
        <w:tc>
          <w:tcPr>
            <w:tcW w:type="dxa" w:w="3120"/>
          </w:tcPr>
          <w:p>
            <w:r>
              <w:t>Severe toxicity only</w:t>
            </w:r>
          </w:p>
        </w:tc>
      </w:tr>
      <w:tr>
        <w:tc>
          <w:tcPr>
            <w:tcW w:type="dxa" w:w="3120"/>
          </w:tcPr>
          <w:p>
            <w:r>
              <w:t>Cyanide</w:t>
            </w:r>
          </w:p>
        </w:tc>
        <w:tc>
          <w:tcPr>
            <w:tcW w:type="dxa" w:w="3120"/>
          </w:tcPr>
          <w:p>
            <w:r>
              <w:t>Hydroxocobalamin</w:t>
            </w:r>
          </w:p>
        </w:tc>
        <w:tc>
          <w:tcPr>
            <w:tcW w:type="dxa" w:w="3120"/>
          </w:tcPr>
          <w:p>
            <w:r>
              <w:t>Preferred in children</w:t>
            </w:r>
          </w:p>
        </w:tc>
      </w:tr>
    </w:tbl>
    <w:p>
      <w:pPr>
        <w:pStyle w:val="Heading1"/>
      </w:pPr>
      <w:r>
        <w:t>Monitoring &amp; Disposition</w:t>
      </w:r>
    </w:p>
    <w:p>
      <w:pPr>
        <w:pStyle w:val="ListBullet"/>
      </w:pPr>
      <w:r>
        <w:t>Admit/ICU if: symptomatic, significant ingestion, antidote/enhanced elimination required, GCS ≤8, respiratory/hemodynamic instability, metabolic derangement, or risk of delayed toxicity.</w:t>
      </w:r>
    </w:p>
    <w:p>
      <w:pPr>
        <w:pStyle w:val="ListBullet"/>
      </w:pPr>
      <w:r>
        <w:t>Observation period for low-risk asymptomatic cases: typically 6–12 hours (extend based on toxin).</w:t>
      </w:r>
    </w:p>
    <w:p>
      <w:pPr>
        <w:pStyle w:val="ListBullet"/>
      </w:pPr>
      <w:r>
        <w:t>Intentional ingestion: mandatory psychiatric evaluation and child safeguarding assessment.</w:t>
      </w:r>
    </w:p>
    <w:p>
      <w:pPr>
        <w:pStyle w:val="ListBullet"/>
      </w:pPr>
      <w:r>
        <w:t>Prevention counseling: educate caregivers on safe storage, child-resistant containers, and proper disposal.</w:t>
      </w:r>
    </w:p>
    <w:p>
      <w:pPr>
        <w:pStyle w:val="Heading1"/>
      </w:pPr>
      <w:r>
        <w:t>Documentation &amp; Medico-Legal Considerations</w:t>
      </w:r>
    </w:p>
    <w:p>
      <w:pPr>
        <w:pStyle w:val="ListBullet"/>
      </w:pPr>
      <w:r>
        <w:t>Record detailed history, clinical findings, investigations, treatments, and poison center consultations.</w:t>
      </w:r>
    </w:p>
    <w:p>
      <w:pPr>
        <w:pStyle w:val="ListBullet"/>
      </w:pPr>
      <w:r>
        <w:t>Photograph container/label if possible; preserve samples (vomitus, blood, container) for potential forensic analysis.</w:t>
      </w:r>
    </w:p>
    <w:p>
      <w:pPr>
        <w:pStyle w:val="ListBullet"/>
      </w:pPr>
      <w:r>
        <w:t>Follow local mandatory reporting requirements (e.g., pesticides, industrial toxins).</w:t>
      </w:r>
    </w:p>
    <w:p>
      <w:pPr>
        <w:pStyle w:val="Heading1"/>
      </w:pPr>
      <w:r>
        <w:t>References (Key Sources)</w:t>
      </w:r>
    </w:p>
    <w:p>
      <w:pPr>
        <w:pStyle w:val="ListBullet"/>
      </w:pPr>
      <w:r>
        <w:t>American Academy of Pediatrics (AAP) Policy Statements</w:t>
      </w:r>
    </w:p>
    <w:p>
      <w:pPr>
        <w:pStyle w:val="ListBullet"/>
      </w:pPr>
      <w:r>
        <w:t>UpToDate: Pediatric Poisoning Management (2024–2025)</w:t>
      </w:r>
    </w:p>
    <w:p>
      <w:pPr>
        <w:pStyle w:val="ListBullet"/>
      </w:pPr>
      <w:r>
        <w:t>EXTRIP (Extracorporeal Treatments in Poisoning) Guidelines</w:t>
      </w:r>
    </w:p>
    <w:p>
      <w:pPr>
        <w:pStyle w:val="ListBullet"/>
      </w:pPr>
      <w:r>
        <w:t>Royal Children’s Hospital Melbourne Clinical Guidelines</w:t>
      </w:r>
    </w:p>
    <w:p>
      <w:pPr>
        <w:pStyle w:val="ListBullet"/>
      </w:pPr>
      <w:r>
        <w:t>WHO Guidelines on Poisoning in Low- and Middle-Income Countries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