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2"/>
        </w:rPr>
        <w:t>Principles of Poisoning Management in Children</w:t>
      </w:r>
    </w:p>
    <w:p>
      <w:pPr>
        <w:jc w:val="center"/>
      </w:pPr>
      <w:r>
        <w:rPr>
          <w:i/>
          <w:color w:val="000000"/>
          <w:sz w:val="24"/>
        </w:rPr>
        <w:t>Algorithmic Approach – Adapted for Resource-Limited Settings (Updated 2025)</w:t>
      </w:r>
    </w:p>
    <w:p/>
    <w:p>
      <w:pPr>
        <w:pStyle w:val="Heading1"/>
      </w:pPr>
      <w:r>
        <w:rPr>
          <w:color w:val="000000"/>
        </w:rPr>
        <w:t>Initial Approach Algorithm (All Suspected Poisoning Cases)</w:t>
      </w:r>
    </w:p>
    <w:p>
      <w:pPr/>
      <w:r>
        <w:rPr>
          <w:color w:val="000000"/>
          <w:sz w:val="22"/>
        </w:rPr>
        <w:t>1. Arrival → Immediate Rapid Primary Survey</w:t>
      </w:r>
    </w:p>
    <w:p>
      <w:pPr/>
      <w:r>
        <w:rPr>
          <w:color w:val="000000"/>
          <w:sz w:val="22"/>
        </w:rPr>
        <w:t xml:space="preserve">   ↓</w:t>
      </w:r>
    </w:p>
    <w:p>
      <w:pPr/>
      <w:r>
        <w:rPr>
          <w:color w:val="000000"/>
          <w:sz w:val="22"/>
        </w:rPr>
        <w:t>2. Assess &amp; Stabilize ABCD</w:t>
      </w:r>
    </w:p>
    <w:p>
      <w:pPr/>
      <w:r>
        <w:rPr>
          <w:color w:val="000000"/>
          <w:sz w:val="22"/>
        </w:rPr>
        <w:t xml:space="preserve">   • Airway: Secure if GCS &lt;8, excessive secretions, or aspiration risk (intubate if needed)</w:t>
      </w:r>
    </w:p>
    <w:p>
      <w:pPr/>
      <w:r>
        <w:rPr>
          <w:color w:val="000000"/>
          <w:sz w:val="22"/>
        </w:rPr>
        <w:t xml:space="preserve">   • Breathing: Provide oxygen/ventilation as required</w:t>
      </w:r>
    </w:p>
    <w:p>
      <w:pPr/>
      <w:r>
        <w:rPr>
          <w:color w:val="000000"/>
          <w:sz w:val="22"/>
        </w:rPr>
        <w:t xml:space="preserve">   • Circulation: IV access, hemodynamic support</w:t>
      </w:r>
    </w:p>
    <w:p>
      <w:pPr/>
      <w:r>
        <w:rPr>
          <w:color w:val="000000"/>
          <w:sz w:val="22"/>
        </w:rPr>
        <w:t xml:space="preserve">   • Disability: Check blood glucose → Correct hypoglycemia immediately</w:t>
      </w:r>
    </w:p>
    <w:p>
      <w:pPr/>
      <w:r>
        <w:rPr>
          <w:color w:val="000000"/>
          <w:sz w:val="22"/>
        </w:rPr>
        <w:t xml:space="preserve">     Exposure: Temperature control, seizure management if present</w:t>
      </w:r>
    </w:p>
    <w:p>
      <w:pPr/>
      <w:r>
        <w:rPr>
          <w:color w:val="000000"/>
          <w:sz w:val="22"/>
        </w:rPr>
        <w:t xml:space="preserve">   ↓</w:t>
      </w:r>
    </w:p>
    <w:p>
      <w:pPr/>
      <w:r>
        <w:rPr>
          <w:color w:val="000000"/>
          <w:sz w:val="22"/>
        </w:rPr>
        <w:t>3. If unstable → Resuscitate aggressively (supportive care is cornerstone)</w:t>
      </w:r>
    </w:p>
    <w:p>
      <w:pPr/>
      <w:r>
        <w:rPr>
          <w:color w:val="000000"/>
          <w:sz w:val="22"/>
        </w:rPr>
        <w:t xml:space="preserve">   ↓</w:t>
      </w:r>
    </w:p>
    <w:p>
      <w:pPr/>
      <w:r>
        <w:rPr>
          <w:color w:val="000000"/>
          <w:sz w:val="22"/>
        </w:rPr>
        <w:t>4. Once stable → Proceed to detailed history &amp; examination</w:t>
      </w:r>
    </w:p>
    <w:p>
      <w:pPr/>
      <w:r>
        <w:rPr>
          <w:color w:val="000000"/>
          <w:sz w:val="22"/>
        </w:rPr>
        <w:t xml:space="preserve">   • History: Substance, amount, time, route, co-ingestants, intent</w:t>
      </w:r>
    </w:p>
    <w:p>
      <w:pPr/>
      <w:r>
        <w:rPr>
          <w:color w:val="000000"/>
          <w:sz w:val="22"/>
        </w:rPr>
        <w:t xml:space="preserve">   • Identify toxidrome (opioid, cholinergic, anticholinergic, sympathomimetic, etc.)</w:t>
      </w:r>
    </w:p>
    <w:p>
      <w:pPr/>
      <w:r>
        <w:rPr>
          <w:color w:val="000000"/>
          <w:sz w:val="22"/>
        </w:rPr>
        <w:t xml:space="preserve">   • Document accurate weight</w:t>
      </w:r>
    </w:p>
    <w:p>
      <w:pPr/>
      <w:r>
        <w:rPr>
          <w:color w:val="000000"/>
          <w:sz w:val="22"/>
        </w:rPr>
        <w:t xml:space="preserve">   ↓</w:t>
      </w:r>
    </w:p>
    <w:p>
      <w:pPr/>
      <w:r>
        <w:rPr>
          <w:color w:val="000000"/>
          <w:sz w:val="22"/>
        </w:rPr>
        <w:t>5. Immediate bedside investigations</w:t>
      </w:r>
    </w:p>
    <w:p>
      <w:pPr/>
      <w:r>
        <w:rPr>
          <w:color w:val="000000"/>
          <w:sz w:val="22"/>
        </w:rPr>
        <w:t xml:space="preserve">   • Blood glucose, SpO₂, ECG</w:t>
      </w:r>
    </w:p>
    <w:p>
      <w:pPr/>
      <w:r>
        <w:rPr>
          <w:color w:val="000000"/>
          <w:sz w:val="22"/>
        </w:rPr>
        <w:t xml:space="preserve">   • If available: ABG/capillary gas, metabolic panel</w:t>
      </w:r>
    </w:p>
    <w:p>
      <w:pPr/>
      <w:r>
        <w:rPr>
          <w:color w:val="000000"/>
          <w:sz w:val="22"/>
        </w:rPr>
        <w:t xml:space="preserve">   • Specific toxin levels only if indicated</w:t>
      </w:r>
    </w:p>
    <w:p>
      <w:pPr/>
      <w:r>
        <w:rPr>
          <w:color w:val="000000"/>
          <w:sz w:val="22"/>
        </w:rPr>
        <w:t xml:space="preserve">   ↓</w:t>
      </w:r>
    </w:p>
    <w:p>
      <w:pPr/>
      <w:r>
        <w:rPr>
          <w:color w:val="000000"/>
          <w:sz w:val="22"/>
        </w:rPr>
        <w:t>6. Contact poison center/toxicologist early (if available)</w:t>
      </w:r>
    </w:p>
    <w:p>
      <w:pPr/>
      <w:r>
        <w:rPr>
          <w:color w:val="000000"/>
          <w:sz w:val="22"/>
        </w:rPr>
        <w:t xml:space="preserve">   ↓</w:t>
      </w:r>
    </w:p>
    <w:p>
      <w:pPr/>
      <w:r>
        <w:rPr>
          <w:color w:val="000000"/>
          <w:sz w:val="22"/>
        </w:rPr>
        <w:t>7. Risk assessment → Decide on:</w:t>
      </w:r>
    </w:p>
    <w:p>
      <w:pPr/>
      <w:r>
        <w:rPr>
          <w:color w:val="000000"/>
          <w:sz w:val="22"/>
        </w:rPr>
        <w:t xml:space="preserve">   • Decontamination?</w:t>
      </w:r>
    </w:p>
    <w:p>
      <w:pPr/>
      <w:r>
        <w:rPr>
          <w:color w:val="000000"/>
          <w:sz w:val="22"/>
        </w:rPr>
        <w:t xml:space="preserve">   • Antidote?</w:t>
      </w:r>
    </w:p>
    <w:p>
      <w:pPr/>
      <w:r>
        <w:rPr>
          <w:color w:val="000000"/>
          <w:sz w:val="22"/>
        </w:rPr>
        <w:t xml:space="preserve">   • Enhanced elimination?</w:t>
      </w:r>
    </w:p>
    <w:p>
      <w:pPr/>
      <w:r>
        <w:rPr>
          <w:color w:val="000000"/>
          <w:sz w:val="22"/>
        </w:rPr>
        <w:t xml:space="preserve">   • Observation vs. admission?</w:t>
      </w:r>
    </w:p>
    <w:p>
      <w:r>
        <w:br w:type="page"/>
      </w:r>
    </w:p>
    <w:p>
      <w:pPr>
        <w:pStyle w:val="Heading1"/>
      </w:pPr>
      <w:r>
        <w:rPr>
          <w:color w:val="000000"/>
        </w:rPr>
        <w:t>Gastrointestinal Decontamination</w:t>
      </w:r>
    </w:p>
    <w:p>
      <w:pPr>
        <w:pStyle w:val="IntenseQuote"/>
      </w:pPr>
      <w:r>
        <w:rPr>
          <w:color w:val="000000"/>
        </w:rPr>
        <w:t>(Use selectively – benefits must outweigh risks; never routine)</w:t>
      </w:r>
    </w:p>
    <w:p>
      <w:pPr>
        <w:pStyle w:val="Heading2"/>
      </w:pPr>
      <w:r>
        <w:rPr>
          <w:color w:val="000000"/>
        </w:rPr>
        <w:t>Activated Charcoal (Preferred method when indicated)</w:t>
      </w:r>
    </w:p>
    <w:p>
      <w:pPr>
        <w:pStyle w:val="ListBullet"/>
      </w:pPr>
      <w:r>
        <w:rPr>
          <w:color w:val="000000"/>
        </w:rPr>
        <w:t>Consider single dose if presentation within 1–2 hours of potentially toxic ingestion.</w:t>
      </w:r>
    </w:p>
    <w:p>
      <w:pPr>
        <w:pStyle w:val="ListBullet"/>
      </w:pPr>
      <w:r>
        <w:rPr>
          <w:color w:val="000000"/>
        </w:rPr>
        <w:t>May consider later for sustained-release preparations or life-threatening toxins where benefit likely.</w:t>
      </w:r>
    </w:p>
    <w:p>
      <w:pPr>
        <w:pStyle w:val="ListBullet"/>
      </w:pPr>
      <w:r>
        <w:rPr>
          <w:color w:val="000000"/>
        </w:rPr>
        <w:t>Dose: 0.5–1 g/kg (commonly 1 g/kg; maximum ~50 g in older children/adolescents).</w:t>
      </w:r>
    </w:p>
    <w:p>
      <w:pPr>
        <w:pStyle w:val="ListBullet"/>
      </w:pPr>
      <w:r>
        <w:rPr>
          <w:color w:val="000000"/>
        </w:rPr>
        <w:t>Contraindications: unprotected airway (unless intubated), corrosives, hydrocarbons, iron, lithium, alcohols.</w:t>
      </w:r>
    </w:p>
    <w:p>
      <w:pPr>
        <w:pStyle w:val="ListBullet"/>
      </w:pPr>
      <w:r>
        <w:rPr>
          <w:color w:val="000000"/>
        </w:rPr>
        <w:t>Multiple-dose activated charcoal: reserved for specific toxins (e.g., carbamazepine, theophylline, phenobarbital, dapsone) under specialist guidance.</w:t>
      </w:r>
    </w:p>
    <w:p>
      <w:r>
        <w:br w:type="page"/>
      </w:r>
    </w:p>
    <w:p>
      <w:pPr>
        <w:pStyle w:val="Heading1"/>
      </w:pPr>
      <w:r>
        <w:rPr>
          <w:color w:val="000000"/>
        </w:rPr>
        <w:t>Antidotes &amp; Targeted Therapy</w:t>
      </w:r>
    </w:p>
    <w:p>
      <w:pPr>
        <w:pStyle w:val="IntenseQuote"/>
      </w:pPr>
      <w:r>
        <w:rPr>
          <w:color w:val="000000"/>
        </w:rPr>
        <w:t>(Administer promptly when indicated and available)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0000"/>
              </w:rPr>
              <w:t>Toxin / Toxidrome</w:t>
            </w:r>
          </w:p>
        </w:tc>
        <w:tc>
          <w:tcPr>
            <w:tcW w:type="dxa" w:w="3120"/>
          </w:tcPr>
          <w:p>
            <w:r>
              <w:rPr>
                <w:b/>
                <w:color w:val="000000"/>
              </w:rPr>
              <w:t>Antidote / Specific Therapy</w:t>
            </w:r>
          </w:p>
        </w:tc>
        <w:tc>
          <w:tcPr>
            <w:tcW w:type="dxa" w:w="3120"/>
          </w:tcPr>
          <w:p>
            <w:r>
              <w:rPr>
                <w:b/>
                <w:color w:val="000000"/>
              </w:rPr>
              <w:t>Key Notes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