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7B" w:rsidRDefault="003D117B">
      <w:pPr>
        <w:rPr>
          <w:sz w:val="28"/>
          <w:szCs w:val="28"/>
          <w:lang w:val="en-GB"/>
        </w:rPr>
      </w:pPr>
    </w:p>
    <w:p w:rsidR="003D117B" w:rsidRDefault="00997FCA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3D117B" w:rsidRDefault="003D117B">
      <w:pPr>
        <w:rPr>
          <w:sz w:val="28"/>
          <w:szCs w:val="28"/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4"/>
        <w:gridCol w:w="6658"/>
      </w:tblGrid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ID</w:t>
            </w:r>
          </w:p>
        </w:tc>
        <w:tc>
          <w:tcPr>
            <w:tcW w:w="665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xmlID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profile_{location}_01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Author of this profile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Image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08406A">
            <w:pPr>
              <w:pStyle w:val="image"/>
              <w:rPr>
                <w:color w:val="000000"/>
                <w:sz w:val="28"/>
                <w:szCs w:val="28"/>
              </w:rPr>
            </w:pPr>
            <w:bookmarkStart w:id="0" w:name="_GoBack"/>
            <w:r>
              <w:rPr>
                <w:noProof/>
                <w:sz w:val="28"/>
                <w:szCs w:val="28"/>
                <w:lang w:val="de-AT" w:eastAsia="de-AT"/>
              </w:rPr>
              <w:drawing>
                <wp:inline distT="0" distB="0" distL="0" distR="0" wp14:anchorId="3F433936" wp14:editId="10F6B4EC">
                  <wp:extent cx="3960000" cy="2970000"/>
                  <wp:effectExtent l="0" t="0" r="254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xandria_01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Copyright of image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imageCopy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Stephan Procházka 2009</w:t>
            </w:r>
          </w:p>
          <w:p w:rsidR="003D117B" w:rsidRDefault="003D117B">
            <w:pPr>
              <w:pStyle w:val="imageCopyright"/>
              <w:rPr>
                <w:sz w:val="28"/>
                <w:szCs w:val="28"/>
              </w:rPr>
            </w:pP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(English)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locNameE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Alexandria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Fuṣḥā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transcription)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locNameFusha"/>
            </w:pPr>
            <w:r>
              <w:rPr>
                <w:sz w:val="28"/>
                <w:szCs w:val="28"/>
              </w:rPr>
              <w:t>al-</w:t>
            </w:r>
            <w:proofErr w:type="spellStart"/>
            <w:r>
              <w:rPr>
                <w:sz w:val="28"/>
                <w:szCs w:val="28"/>
              </w:rPr>
              <w:t>ʔIskandariyya</w:t>
            </w:r>
            <w:proofErr w:type="spellEnd"/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Fuṣḥā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Arabic)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locNameFushaAr"/>
              <w:spacing w:after="0"/>
              <w:rPr>
                <w:rFonts w:cs="Arial"/>
                <w:b/>
                <w:bCs w:val="0"/>
                <w:sz w:val="36"/>
                <w:szCs w:val="36"/>
                <w:lang w:val="en-US"/>
              </w:rPr>
            </w:pPr>
            <w:r>
              <w:rPr>
                <w:rFonts w:cs="Arial"/>
                <w:b/>
                <w:bCs w:val="0"/>
                <w:sz w:val="36"/>
                <w:szCs w:val="36"/>
                <w:rtl/>
                <w:lang w:val="en-US"/>
              </w:rPr>
              <w:t>الإسكندرية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in local variety (in transcription)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locNameLoc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Iskandariyya</w:t>
            </w:r>
            <w:proofErr w:type="spellEnd"/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Geo location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31.19, 29.89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(Local)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typolog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East (Mashreq) › Egypt-Sudan › Egypt › Delta › Western delta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(General)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typologyGen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Urban dialect</w:t>
            </w:r>
          </w:p>
        </w:tc>
      </w:tr>
      <w:tr w:rsidR="003D117B" w:rsidRPr="00BB7811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gen"/>
              <w:jc w:val="both"/>
            </w:pPr>
            <w:r>
              <w:rPr>
                <w:sz w:val="28"/>
                <w:szCs w:val="28"/>
              </w:rPr>
              <w:t xml:space="preserve">Alexandria is Egypt’s second largest city and a major economic centre. Beginning in the late 18th century, Alexandria grew into a major shipping </w:t>
            </w:r>
            <w:proofErr w:type="spellStart"/>
            <w:r>
              <w:rPr>
                <w:sz w:val="28"/>
                <w:szCs w:val="28"/>
              </w:rPr>
              <w:t>entrepôt</w:t>
            </w:r>
            <w:proofErr w:type="spellEnd"/>
            <w:r>
              <w:rPr>
                <w:sz w:val="28"/>
                <w:szCs w:val="28"/>
              </w:rPr>
              <w:t xml:space="preserve"> and one of the most important trading centres worldwide. Until the 1950s it was a multi-ethnic town in which Italian, Greek, and other languages were spoken as well as Arabic. The original dialect was of the </w:t>
            </w:r>
            <w:proofErr w:type="spellStart"/>
            <w:r>
              <w:rPr>
                <w:sz w:val="28"/>
                <w:szCs w:val="28"/>
              </w:rPr>
              <w:t>Biḥēra</w:t>
            </w:r>
            <w:proofErr w:type="spellEnd"/>
            <w:r>
              <w:rPr>
                <w:sz w:val="28"/>
                <w:szCs w:val="28"/>
              </w:rPr>
              <w:t xml:space="preserve"> type and may be still heard today from elderly fishermen in the </w:t>
            </w:r>
            <w:proofErr w:type="spellStart"/>
            <w:r>
              <w:rPr>
                <w:sz w:val="28"/>
                <w:szCs w:val="28"/>
              </w:rPr>
              <w:t>Anfūši</w:t>
            </w:r>
            <w:proofErr w:type="spellEnd"/>
            <w:r>
              <w:rPr>
                <w:sz w:val="28"/>
                <w:szCs w:val="28"/>
              </w:rPr>
              <w:t xml:space="preserve"> district – the area in which the population of Alexandria had been concentrated in the early 19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century. The dialect of the great majority of today’s speakers is, however, very much influenced by Cairene Arabic.</w:t>
            </w:r>
          </w:p>
        </w:tc>
      </w:tr>
      <w:tr w:rsidR="003D117B" w:rsidRPr="00BB7811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Research history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pStyle w:val="researchHistory"/>
              <w:jc w:val="both"/>
            </w:pPr>
            <w:r>
              <w:rPr>
                <w:sz w:val="28"/>
                <w:szCs w:val="28"/>
              </w:rPr>
              <w:t xml:space="preserve">Considering the importance of Alexandria, surprisingly little research has been done on its dialect. Behnstedt 1980 deals with the original port dialect as spoken in </w:t>
            </w:r>
            <w:proofErr w:type="spellStart"/>
            <w:r>
              <w:rPr>
                <w:sz w:val="28"/>
                <w:szCs w:val="28"/>
              </w:rPr>
              <w:lastRenderedPageBreak/>
              <w:t>Anfūši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Rās</w:t>
            </w:r>
            <w:proofErr w:type="spellEnd"/>
            <w:r>
              <w:rPr>
                <w:sz w:val="28"/>
                <w:szCs w:val="28"/>
              </w:rPr>
              <w:t xml:space="preserve"> it-</w:t>
            </w:r>
            <w:proofErr w:type="spellStart"/>
            <w:r>
              <w:rPr>
                <w:sz w:val="28"/>
                <w:szCs w:val="28"/>
              </w:rPr>
              <w:t>Tīn</w:t>
            </w:r>
            <w:proofErr w:type="spellEnd"/>
            <w:r>
              <w:rPr>
                <w:sz w:val="28"/>
                <w:szCs w:val="28"/>
              </w:rPr>
              <w:t xml:space="preserve">: the article describes the port dialect's most salient phonological, morphological, and lexical features and compares these with the most common contemporary dialect of Alexandria. The atlas by Behnstedt/Woidich 1985 also includes data on Alexandria. Behnstedt/Woidich 1987 includes five texts with German translation and linguistic notes. </w:t>
            </w:r>
            <w:proofErr w:type="spellStart"/>
            <w:r>
              <w:rPr>
                <w:sz w:val="28"/>
                <w:szCs w:val="28"/>
              </w:rPr>
              <w:t>Wahba</w:t>
            </w:r>
            <w:proofErr w:type="spellEnd"/>
            <w:r>
              <w:rPr>
                <w:sz w:val="28"/>
                <w:szCs w:val="28"/>
              </w:rPr>
              <w:t xml:space="preserve"> 1996 deals with linguistic variation in the dialect of Alexandria, </w:t>
            </w:r>
            <w:proofErr w:type="spellStart"/>
            <w:r>
              <w:rPr>
                <w:sz w:val="28"/>
                <w:szCs w:val="28"/>
              </w:rPr>
              <w:t>analyzing</w:t>
            </w:r>
            <w:proofErr w:type="spellEnd"/>
            <w:r>
              <w:rPr>
                <w:sz w:val="28"/>
                <w:szCs w:val="28"/>
              </w:rPr>
              <w:t xml:space="preserve"> the phonetic variation of emphasis as a function of factors like education, sex, and age.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lastRenderedPageBreak/>
              <w:t>Dictionaries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3D117B">
            <w:pPr>
              <w:pStyle w:val="dicts"/>
              <w:rPr>
                <w:sz w:val="28"/>
                <w:szCs w:val="28"/>
              </w:rPr>
            </w:pP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Text books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3D117B">
            <w:pPr>
              <w:pStyle w:val="textbooks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Audio data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3D117B">
            <w:pPr>
              <w:pStyle w:val="audio"/>
              <w:rPr>
                <w:sz w:val="28"/>
                <w:szCs w:val="28"/>
                <w:shd w:val="clear" w:color="auto" w:fill="FFFFFF"/>
                <w:lang w:val="de-AT"/>
              </w:rPr>
            </w:pP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Bibliography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Sample text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3D117B"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Linguistic features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17B" w:rsidRDefault="00997FCA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</w:tbl>
    <w:p w:rsidR="003D117B" w:rsidRDefault="003D117B">
      <w:pPr>
        <w:spacing w:line="360" w:lineRule="auto"/>
        <w:rPr>
          <w:sz w:val="28"/>
          <w:szCs w:val="28"/>
          <w:lang w:val="en-GB"/>
        </w:rPr>
      </w:pPr>
    </w:p>
    <w:p w:rsidR="003D117B" w:rsidRDefault="003D117B">
      <w:pPr>
        <w:spacing w:line="360" w:lineRule="auto"/>
        <w:jc w:val="both"/>
      </w:pPr>
    </w:p>
    <w:sectPr w:rsidR="003D117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A53" w:rsidRDefault="00997FCA">
      <w:pPr>
        <w:spacing w:after="0" w:line="240" w:lineRule="auto"/>
      </w:pPr>
      <w:r>
        <w:separator/>
      </w:r>
    </w:p>
  </w:endnote>
  <w:endnote w:type="continuationSeparator" w:id="0">
    <w:p w:rsidR="00C15A53" w:rsidRDefault="0099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38E" w:rsidRDefault="0008406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38E" w:rsidRDefault="0008406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A53" w:rsidRDefault="00997FC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15A53" w:rsidRDefault="0099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38E" w:rsidRDefault="000840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38E" w:rsidRDefault="000840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6287"/>
    <w:multiLevelType w:val="multilevel"/>
    <w:tmpl w:val="613231EA"/>
    <w:styleLink w:val="WWNum1"/>
    <w:lvl w:ilvl="0">
      <w:numFmt w:val="bullet"/>
      <w:lvlText w:val="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117B"/>
    <w:rsid w:val="0008406A"/>
    <w:rsid w:val="003D117B"/>
    <w:rsid w:val="00885854"/>
    <w:rsid w:val="00997FCA"/>
    <w:rsid w:val="00BB7811"/>
    <w:rsid w:val="00C1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Stephan</cp:lastModifiedBy>
  <cp:revision>5</cp:revision>
  <dcterms:created xsi:type="dcterms:W3CDTF">2018-11-20T11:33:00Z</dcterms:created>
  <dcterms:modified xsi:type="dcterms:W3CDTF">2019-01-06T17:39:00Z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