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4F1" w:rsidRDefault="007A24F1">
      <w:pPr>
        <w:rPr>
          <w:lang w:val="en-GB"/>
        </w:rPr>
      </w:pPr>
    </w:p>
    <w:p w:rsidR="007A24F1" w:rsidRDefault="002403A4">
      <w:pPr>
        <w:rPr>
          <w:lang w:val="en-GB"/>
        </w:rPr>
      </w:pPr>
      <w:r>
        <w:rPr>
          <w:lang w:val="en-GB"/>
        </w:rPr>
        <w:t>Please fill in the following form. We will convert it into TEI conformant data to put it on the VICAV website. Have a look at previously published examples on the VICAV website.</w:t>
      </w:r>
    </w:p>
    <w:p w:rsidR="007A24F1" w:rsidRDefault="007A24F1">
      <w:pPr>
        <w:rPr>
          <w:lang w:val="en-GB"/>
        </w:rPr>
      </w:pPr>
    </w:p>
    <w:tbl>
      <w:tblPr>
        <w:tblW w:w="906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3"/>
        <w:gridCol w:w="7059"/>
      </w:tblGrid>
      <w:tr w:rsidR="007A24F1">
        <w:tc>
          <w:tcPr>
            <w:tcW w:w="20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ID</w:t>
            </w:r>
          </w:p>
        </w:tc>
        <w:tc>
          <w:tcPr>
            <w:tcW w:w="7059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pStyle w:val="xmlID"/>
              <w:rPr>
                <w:color w:val="FFFFFF"/>
                <w:sz w:val="32"/>
                <w:szCs w:val="32"/>
                <w:shd w:val="clear" w:color="auto" w:fill="FFFF00"/>
              </w:rPr>
            </w:pPr>
            <w:r>
              <w:rPr>
                <w:color w:val="FFFFFF"/>
                <w:sz w:val="32"/>
                <w:szCs w:val="32"/>
                <w:shd w:val="clear" w:color="auto" w:fill="FFFF00"/>
              </w:rPr>
              <w:t>profile_{location}_01</w:t>
            </w:r>
          </w:p>
        </w:tc>
      </w:tr>
      <w:tr w:rsidR="007A24F1">
        <w:tc>
          <w:tcPr>
            <w:tcW w:w="20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Author of this profile</w:t>
            </w:r>
          </w:p>
        </w:tc>
        <w:tc>
          <w:tcPr>
            <w:tcW w:w="7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pStyle w:val="autho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Bettina Leitner &amp; </w:t>
            </w:r>
            <w:proofErr w:type="spellStart"/>
            <w:r>
              <w:rPr>
                <w:sz w:val="32"/>
                <w:szCs w:val="32"/>
              </w:rPr>
              <w:t>Qasim</w:t>
            </w:r>
            <w:proofErr w:type="spellEnd"/>
            <w:r>
              <w:rPr>
                <w:sz w:val="32"/>
                <w:szCs w:val="32"/>
              </w:rPr>
              <w:t xml:space="preserve"> Hassan</w:t>
            </w:r>
          </w:p>
        </w:tc>
      </w:tr>
      <w:tr w:rsidR="007A24F1">
        <w:tc>
          <w:tcPr>
            <w:tcW w:w="20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Image</w:t>
            </w:r>
          </w:p>
        </w:tc>
        <w:tc>
          <w:tcPr>
            <w:tcW w:w="7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pStyle w:val="image"/>
              <w:rPr>
                <w:color w:val="000000"/>
                <w:sz w:val="32"/>
                <w:szCs w:val="32"/>
              </w:rPr>
            </w:pPr>
            <w:r>
              <w:rPr>
                <w:noProof/>
                <w:color w:val="000000"/>
                <w:sz w:val="32"/>
                <w:szCs w:val="32"/>
                <w:lang w:val="de-DE" w:eastAsia="de-D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-65562</wp:posOffset>
                  </wp:positionH>
                  <wp:positionV relativeFrom="paragraph">
                    <wp:posOffset>1463</wp:posOffset>
                  </wp:positionV>
                  <wp:extent cx="4485589" cy="4647620"/>
                  <wp:effectExtent l="0" t="0" r="0" b="580"/>
                  <wp:wrapSquare wrapText="bothSides"/>
                  <wp:docPr id="1" name="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 r="45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589" cy="464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A24F1" w:rsidRPr="002403A4">
        <w:tc>
          <w:tcPr>
            <w:tcW w:w="20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Copyright of image</w:t>
            </w:r>
          </w:p>
        </w:tc>
        <w:tc>
          <w:tcPr>
            <w:tcW w:w="7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pStyle w:val="imageCopy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http://airlines-airports.com/middle-east-airlines-agent-office-in-basra-iraq/</w:t>
            </w:r>
          </w:p>
        </w:tc>
      </w:tr>
      <w:tr w:rsidR="007A24F1">
        <w:tc>
          <w:tcPr>
            <w:tcW w:w="20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Name of location (English)</w:t>
            </w:r>
          </w:p>
        </w:tc>
        <w:tc>
          <w:tcPr>
            <w:tcW w:w="7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spacing w:after="0" w:line="240" w:lineRule="auto"/>
              <w:outlineLvl w:val="0"/>
              <w:rPr>
                <w:rFonts w:eastAsia="Times New Roman"/>
                <w:color w:val="000000"/>
                <w:sz w:val="36"/>
                <w:szCs w:val="36"/>
                <w:lang w:eastAsia="de-AT"/>
              </w:rPr>
            </w:pPr>
            <w:r>
              <w:rPr>
                <w:rFonts w:eastAsia="Times New Roman"/>
                <w:color w:val="000000"/>
                <w:sz w:val="36"/>
                <w:szCs w:val="36"/>
                <w:lang w:eastAsia="de-AT"/>
              </w:rPr>
              <w:t>Basra</w:t>
            </w:r>
          </w:p>
        </w:tc>
      </w:tr>
      <w:tr w:rsidR="007A24F1">
        <w:tc>
          <w:tcPr>
            <w:tcW w:w="20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Name of location (</w:t>
            </w:r>
            <w:proofErr w:type="spellStart"/>
            <w:r>
              <w:rPr>
                <w:color w:val="0070C0"/>
                <w:sz w:val="32"/>
                <w:szCs w:val="32"/>
                <w:lang w:val="en-GB"/>
              </w:rPr>
              <w:t>Fuṣḥā</w:t>
            </w:r>
            <w:proofErr w:type="spellEnd"/>
            <w:r>
              <w:rPr>
                <w:color w:val="0070C0"/>
                <w:sz w:val="32"/>
                <w:szCs w:val="32"/>
                <w:lang w:val="en-GB"/>
              </w:rPr>
              <w:t>, transcription)</w:t>
            </w:r>
          </w:p>
        </w:tc>
        <w:tc>
          <w:tcPr>
            <w:tcW w:w="7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pStyle w:val="locNameFush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al-</w:t>
            </w:r>
            <w:proofErr w:type="spellStart"/>
            <w:r>
              <w:rPr>
                <w:sz w:val="32"/>
                <w:szCs w:val="32"/>
              </w:rPr>
              <w:t>Baṣra</w:t>
            </w:r>
            <w:proofErr w:type="spellEnd"/>
          </w:p>
        </w:tc>
      </w:tr>
      <w:tr w:rsidR="007A24F1">
        <w:tc>
          <w:tcPr>
            <w:tcW w:w="20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Pr="002403A4" w:rsidRDefault="002403A4">
            <w:pPr>
              <w:spacing w:after="0" w:line="240" w:lineRule="auto"/>
              <w:rPr>
                <w:lang w:val="en-US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lastRenderedPageBreak/>
              <w:t>Name of location (</w:t>
            </w:r>
            <w:proofErr w:type="spellStart"/>
            <w:r>
              <w:rPr>
                <w:color w:val="0070C0"/>
                <w:sz w:val="32"/>
                <w:szCs w:val="32"/>
                <w:lang w:val="en-GB"/>
              </w:rPr>
              <w:t>Fuṣḥā</w:t>
            </w:r>
            <w:proofErr w:type="spellEnd"/>
            <w:r>
              <w:rPr>
                <w:color w:val="0070C0"/>
                <w:sz w:val="32"/>
                <w:szCs w:val="32"/>
                <w:lang w:val="en-GB"/>
              </w:rPr>
              <w:t>, Arabic)</w:t>
            </w:r>
          </w:p>
        </w:tc>
        <w:tc>
          <w:tcPr>
            <w:tcW w:w="7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pStyle w:val="locNameFushaAr"/>
              <w:spacing w:after="0"/>
              <w:rPr>
                <w:b/>
                <w:bCs w:val="0"/>
                <w:color w:val="000000"/>
                <w:sz w:val="36"/>
                <w:szCs w:val="36"/>
              </w:rPr>
            </w:pPr>
            <w:r>
              <w:rPr>
                <w:b/>
                <w:bCs w:val="0"/>
                <w:color w:val="000000"/>
                <w:sz w:val="36"/>
                <w:szCs w:val="36"/>
                <w:rtl/>
              </w:rPr>
              <w:t>البصرة</w:t>
            </w:r>
          </w:p>
        </w:tc>
      </w:tr>
      <w:tr w:rsidR="007A24F1">
        <w:tc>
          <w:tcPr>
            <w:tcW w:w="20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Name in local variety (in transcription)</w:t>
            </w:r>
          </w:p>
        </w:tc>
        <w:tc>
          <w:tcPr>
            <w:tcW w:w="7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pStyle w:val="locNameFushaAr"/>
              <w:spacing w:after="0"/>
            </w:pPr>
            <w:proofErr w:type="spellStart"/>
            <w:r>
              <w:rPr>
                <w:color w:val="000000"/>
                <w:sz w:val="36"/>
                <w:szCs w:val="36"/>
              </w:rPr>
              <w:t>Baṣra</w:t>
            </w:r>
            <w:proofErr w:type="spellEnd"/>
          </w:p>
        </w:tc>
      </w:tr>
      <w:tr w:rsidR="007A24F1">
        <w:tc>
          <w:tcPr>
            <w:tcW w:w="20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Geo location</w:t>
            </w:r>
          </w:p>
        </w:tc>
        <w:tc>
          <w:tcPr>
            <w:tcW w:w="7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B74584">
            <w:pPr>
              <w:pStyle w:val="geo"/>
            </w:pPr>
            <w:hyperlink r:id="rId7" w:history="1">
              <w:r w:rsidR="002403A4">
                <w:rPr>
                  <w:sz w:val="32"/>
                  <w:szCs w:val="32"/>
                  <w:lang w:val="en-US"/>
                </w:rPr>
                <w:t>30° 30′ N, 47° 49′ O</w:t>
              </w:r>
            </w:hyperlink>
          </w:p>
        </w:tc>
      </w:tr>
      <w:tr w:rsidR="007A24F1" w:rsidRPr="002403A4">
        <w:tc>
          <w:tcPr>
            <w:tcW w:w="20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Typology (Local)</w:t>
            </w:r>
          </w:p>
        </w:tc>
        <w:tc>
          <w:tcPr>
            <w:tcW w:w="7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pStyle w:val="typology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East (Mashreq) › Mesopotamia › Iraq (</w:t>
            </w:r>
            <w:bookmarkStart w:id="0" w:name="_GoBack"/>
            <w:proofErr w:type="spellStart"/>
            <w:r>
              <w:rPr>
                <w:i/>
                <w:iCs/>
                <w:sz w:val="32"/>
                <w:szCs w:val="32"/>
              </w:rPr>
              <w:t>gilit</w:t>
            </w:r>
            <w:bookmarkEnd w:id="0"/>
            <w:proofErr w:type="spellEnd"/>
            <w:r>
              <w:rPr>
                <w:sz w:val="32"/>
                <w:szCs w:val="32"/>
              </w:rPr>
              <w:t>) › South</w:t>
            </w:r>
          </w:p>
        </w:tc>
      </w:tr>
      <w:tr w:rsidR="007A24F1">
        <w:tc>
          <w:tcPr>
            <w:tcW w:w="20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Typology (General)</w:t>
            </w:r>
          </w:p>
        </w:tc>
        <w:tc>
          <w:tcPr>
            <w:tcW w:w="7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pStyle w:val="typologyGen"/>
              <w:rPr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sz w:val="32"/>
                <w:szCs w:val="32"/>
                <w:shd w:val="clear" w:color="auto" w:fill="FFFFFF"/>
                <w:lang w:val="en-US"/>
              </w:rPr>
              <w:t>urban-Bedouin</w:t>
            </w:r>
          </w:p>
        </w:tc>
      </w:tr>
      <w:tr w:rsidR="007A24F1">
        <w:tc>
          <w:tcPr>
            <w:tcW w:w="20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spacing w:after="0" w:line="240" w:lineRule="auto"/>
              <w:jc w:val="both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General</w:t>
            </w:r>
          </w:p>
        </w:tc>
        <w:tc>
          <w:tcPr>
            <w:tcW w:w="7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pStyle w:val="gen"/>
              <w:jc w:val="both"/>
            </w:pPr>
            <w:r>
              <w:rPr>
                <w:sz w:val="32"/>
                <w:szCs w:val="32"/>
              </w:rPr>
              <w:t xml:space="preserve">Basra, Iraq’s major port </w:t>
            </w:r>
            <w:proofErr w:type="gramStart"/>
            <w:r>
              <w:rPr>
                <w:sz w:val="32"/>
                <w:szCs w:val="32"/>
              </w:rPr>
              <w:t>city,</w:t>
            </w:r>
            <w:proofErr w:type="gramEnd"/>
            <w:r>
              <w:rPr>
                <w:sz w:val="32"/>
                <w:szCs w:val="32"/>
              </w:rPr>
              <w:t xml:space="preserve"> is a Shiite Arab town of more than </w:t>
            </w:r>
            <w:r>
              <w:rPr>
                <w:color w:val="00000A"/>
                <w:sz w:val="32"/>
                <w:szCs w:val="32"/>
              </w:rPr>
              <w:t xml:space="preserve">two </w:t>
            </w:r>
            <w:r>
              <w:rPr>
                <w:sz w:val="32"/>
                <w:szCs w:val="32"/>
              </w:rPr>
              <w:t xml:space="preserve">million located in the south of Iraq on the Shatt al-Arab. The city </w:t>
            </w:r>
            <w:proofErr w:type="gramStart"/>
            <w:r>
              <w:rPr>
                <w:sz w:val="32"/>
                <w:szCs w:val="32"/>
              </w:rPr>
              <w:t xml:space="preserve">was </w:t>
            </w:r>
            <w:r>
              <w:rPr>
                <w:color w:val="00000A"/>
                <w:sz w:val="32"/>
                <w:szCs w:val="32"/>
              </w:rPr>
              <w:t>founded</w:t>
            </w:r>
            <w:proofErr w:type="gramEnd"/>
            <w:r>
              <w:rPr>
                <w:color w:val="00000A"/>
                <w:sz w:val="32"/>
                <w:szCs w:val="32"/>
              </w:rPr>
              <w:t xml:space="preserve"> as a military camp by the Arab army between 634 and 644. It played a major role in the early days of Islam and subsequently developed into a cosmopolitan centre with a flourishing intellectual life, reaching its zenith in the 8</w:t>
            </w:r>
            <w:r>
              <w:rPr>
                <w:color w:val="00000A"/>
                <w:sz w:val="32"/>
                <w:szCs w:val="32"/>
                <w:vertAlign w:val="superscript"/>
              </w:rPr>
              <w:t>th</w:t>
            </w:r>
            <w:r>
              <w:rPr>
                <w:color w:val="00000A"/>
                <w:sz w:val="32"/>
                <w:szCs w:val="32"/>
              </w:rPr>
              <w:t xml:space="preserve"> and 9</w:t>
            </w:r>
            <w:r>
              <w:rPr>
                <w:color w:val="00000A"/>
                <w:sz w:val="32"/>
                <w:szCs w:val="32"/>
                <w:vertAlign w:val="superscript"/>
              </w:rPr>
              <w:t>th</w:t>
            </w:r>
            <w:r>
              <w:rPr>
                <w:color w:val="00000A"/>
                <w:sz w:val="32"/>
                <w:szCs w:val="32"/>
              </w:rPr>
              <w:t xml:space="preserve"> centuries.</w:t>
            </w:r>
          </w:p>
          <w:p w:rsidR="007A24F1" w:rsidRDefault="002403A4">
            <w:pPr>
              <w:pStyle w:val="gen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Today Basra is the heart of Iraq’s oil industry. The city’s infrastructure </w:t>
            </w:r>
            <w:proofErr w:type="gramStart"/>
            <w:r>
              <w:rPr>
                <w:sz w:val="32"/>
                <w:szCs w:val="32"/>
              </w:rPr>
              <w:t>was severely damaged</w:t>
            </w:r>
            <w:proofErr w:type="gramEnd"/>
            <w:r>
              <w:rPr>
                <w:sz w:val="32"/>
                <w:szCs w:val="32"/>
              </w:rPr>
              <w:t xml:space="preserve"> during the war with Iran (1980–88), the First Gulf War in 1991, and the 2003 US-led invasion of Iraq.</w:t>
            </w:r>
          </w:p>
        </w:tc>
      </w:tr>
      <w:tr w:rsidR="007A24F1">
        <w:tc>
          <w:tcPr>
            <w:tcW w:w="20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Research history</w:t>
            </w:r>
          </w:p>
        </w:tc>
        <w:tc>
          <w:tcPr>
            <w:tcW w:w="7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 w:rsidP="00DA7D51">
            <w:pPr>
              <w:pStyle w:val="researchHistory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Hitherto the only description of the dialect of Basra is an unpublished dissertation by </w:t>
            </w:r>
            <w:proofErr w:type="spellStart"/>
            <w:r>
              <w:rPr>
                <w:sz w:val="32"/>
                <w:szCs w:val="32"/>
              </w:rPr>
              <w:t>Qasim</w:t>
            </w:r>
            <w:proofErr w:type="spellEnd"/>
            <w:r>
              <w:rPr>
                <w:sz w:val="32"/>
                <w:szCs w:val="32"/>
              </w:rPr>
              <w:t xml:space="preserve"> R. Mahdi (Mahdi 1985) on the dialect</w:t>
            </w:r>
            <w:r w:rsidR="00DA7D51">
              <w:rPr>
                <w:sz w:val="32"/>
                <w:szCs w:val="32"/>
              </w:rPr>
              <w:t>’</w:t>
            </w:r>
            <w:r>
              <w:rPr>
                <w:sz w:val="32"/>
                <w:szCs w:val="32"/>
              </w:rPr>
              <w:t>s phonology</w:t>
            </w:r>
            <w:r w:rsidR="002E487D">
              <w:rPr>
                <w:sz w:val="32"/>
                <w:szCs w:val="32"/>
              </w:rPr>
              <w:t xml:space="preserve">, morphology, and syntax. </w:t>
            </w:r>
            <w:proofErr w:type="spellStart"/>
            <w:r w:rsidR="002E487D">
              <w:rPr>
                <w:sz w:val="32"/>
                <w:szCs w:val="32"/>
              </w:rPr>
              <w:t>Denz</w:t>
            </w:r>
            <w:proofErr w:type="spellEnd"/>
            <w:r w:rsidR="00D233FF">
              <w:rPr>
                <w:sz w:val="32"/>
                <w:szCs w:val="32"/>
              </w:rPr>
              <w:t xml:space="preserve"> &amp;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Edzard</w:t>
            </w:r>
            <w:proofErr w:type="spellEnd"/>
            <w:r>
              <w:rPr>
                <w:sz w:val="32"/>
                <w:szCs w:val="32"/>
              </w:rPr>
              <w:t xml:space="preserve"> 1966 published four texts in the dialect of Basra with English translation.</w:t>
            </w:r>
          </w:p>
        </w:tc>
      </w:tr>
      <w:tr w:rsidR="007A24F1">
        <w:tc>
          <w:tcPr>
            <w:tcW w:w="20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Dictionaries</w:t>
            </w:r>
          </w:p>
        </w:tc>
        <w:tc>
          <w:tcPr>
            <w:tcW w:w="7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7A24F1">
            <w:pPr>
              <w:pStyle w:val="dicts"/>
              <w:rPr>
                <w:sz w:val="32"/>
                <w:szCs w:val="32"/>
              </w:rPr>
            </w:pPr>
          </w:p>
        </w:tc>
      </w:tr>
      <w:tr w:rsidR="007A24F1">
        <w:tc>
          <w:tcPr>
            <w:tcW w:w="20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Text books</w:t>
            </w:r>
          </w:p>
        </w:tc>
        <w:tc>
          <w:tcPr>
            <w:tcW w:w="7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7A24F1">
            <w:pPr>
              <w:pStyle w:val="textbooks"/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7A24F1">
        <w:tc>
          <w:tcPr>
            <w:tcW w:w="20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Audio data</w:t>
            </w:r>
          </w:p>
        </w:tc>
        <w:tc>
          <w:tcPr>
            <w:tcW w:w="7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7A24F1">
            <w:pPr>
              <w:pStyle w:val="audio"/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7A24F1">
        <w:tc>
          <w:tcPr>
            <w:tcW w:w="20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Bibliography</w:t>
            </w:r>
          </w:p>
        </w:tc>
        <w:tc>
          <w:tcPr>
            <w:tcW w:w="7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shd w:val="clear" w:color="auto" w:fill="FFFFFF"/>
              <w:spacing w:after="0" w:line="240" w:lineRule="auto"/>
              <w:rPr>
                <w:color w:val="000000"/>
                <w:sz w:val="32"/>
                <w:szCs w:val="32"/>
                <w:shd w:val="clear" w:color="auto" w:fill="FFFFFF"/>
                <w:lang w:val="en-GB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  <w:lang w:val="en-GB"/>
              </w:rPr>
              <w:t>{leave empty}</w:t>
            </w:r>
          </w:p>
        </w:tc>
      </w:tr>
      <w:tr w:rsidR="007A24F1">
        <w:tc>
          <w:tcPr>
            <w:tcW w:w="20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Sample text</w:t>
            </w:r>
          </w:p>
        </w:tc>
        <w:tc>
          <w:tcPr>
            <w:tcW w:w="7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shd w:val="clear" w:color="auto" w:fill="FFFFFF"/>
              <w:spacing w:after="0" w:line="240" w:lineRule="auto"/>
              <w:rPr>
                <w:color w:val="000000"/>
                <w:sz w:val="32"/>
                <w:szCs w:val="32"/>
                <w:shd w:val="clear" w:color="auto" w:fill="FFFFFF"/>
                <w:lang w:val="en-GB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  <w:lang w:val="en-GB"/>
              </w:rPr>
              <w:t>{leave empty}</w:t>
            </w:r>
          </w:p>
        </w:tc>
      </w:tr>
      <w:tr w:rsidR="007A24F1">
        <w:tc>
          <w:tcPr>
            <w:tcW w:w="20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spacing w:after="0" w:line="240" w:lineRule="auto"/>
            </w:pPr>
            <w:r>
              <w:rPr>
                <w:color w:val="0070C0"/>
                <w:sz w:val="32"/>
                <w:szCs w:val="32"/>
                <w:lang w:val="en-GB"/>
              </w:rPr>
              <w:lastRenderedPageBreak/>
              <w:t>Linguistic features</w:t>
            </w:r>
          </w:p>
        </w:tc>
        <w:tc>
          <w:tcPr>
            <w:tcW w:w="7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shd w:val="clear" w:color="auto" w:fill="FFFFFF"/>
              <w:spacing w:after="0" w:line="240" w:lineRule="auto"/>
              <w:rPr>
                <w:color w:val="000000"/>
                <w:sz w:val="32"/>
                <w:szCs w:val="32"/>
                <w:shd w:val="clear" w:color="auto" w:fill="FFFFFF"/>
                <w:lang w:val="en-GB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  <w:lang w:val="en-GB"/>
              </w:rPr>
              <w:t>{leave empty</w:t>
            </w:r>
          </w:p>
        </w:tc>
      </w:tr>
    </w:tbl>
    <w:p w:rsidR="007A24F1" w:rsidRDefault="007A24F1"/>
    <w:sectPr w:rsidR="007A24F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584" w:rsidRDefault="00B74584">
      <w:pPr>
        <w:spacing w:after="0" w:line="240" w:lineRule="auto"/>
      </w:pPr>
      <w:r>
        <w:separator/>
      </w:r>
    </w:p>
  </w:endnote>
  <w:endnote w:type="continuationSeparator" w:id="0">
    <w:p w:rsidR="00B74584" w:rsidRDefault="00B74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D00" w:rsidRDefault="00B7458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D00" w:rsidRDefault="00B7458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584" w:rsidRDefault="00B7458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B74584" w:rsidRDefault="00B74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D00" w:rsidRDefault="00B7458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D00" w:rsidRDefault="00B7458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4F1"/>
    <w:rsid w:val="001133FC"/>
    <w:rsid w:val="002403A4"/>
    <w:rsid w:val="002E487D"/>
    <w:rsid w:val="004507F4"/>
    <w:rsid w:val="007A24F1"/>
    <w:rsid w:val="00B74584"/>
    <w:rsid w:val="00CB62DC"/>
    <w:rsid w:val="00D233FF"/>
    <w:rsid w:val="00DA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99EFE"/>
  <w15:docId w15:val="{FB6666FD-08C1-4C41-8608-BAEAC77A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Lucida Sans Unicode" w:hAnsi="Calibri" w:cs="Tahoma"/>
        <w:kern w:val="3"/>
        <w:sz w:val="22"/>
        <w:szCs w:val="22"/>
        <w:lang w:val="de-DE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</w:pPr>
  </w:style>
  <w:style w:type="paragraph" w:styleId="berschrift1">
    <w:name w:val="heading 1"/>
    <w:basedOn w:val="Standard"/>
    <w:next w:val="Textbody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val="de-AT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Literaturverzeichnis">
    <w:name w:val="Bibliography"/>
    <w:basedOn w:val="Standard"/>
  </w:style>
  <w:style w:type="paragraph" w:customStyle="1" w:styleId="xmlID">
    <w:name w:val="xmlID"/>
    <w:basedOn w:val="Standard"/>
    <w:pPr>
      <w:spacing w:after="0" w:line="240" w:lineRule="auto"/>
    </w:pPr>
    <w:rPr>
      <w:bCs/>
      <w:color w:val="000000"/>
      <w:sz w:val="24"/>
      <w:szCs w:val="24"/>
      <w:lang w:val="en-GB"/>
    </w:rPr>
  </w:style>
  <w:style w:type="paragraph" w:customStyle="1" w:styleId="author">
    <w:name w:val="author"/>
    <w:basedOn w:val="Standard"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Copyright">
    <w:name w:val="imageCopyright"/>
    <w:basedOn w:val="Standard"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">
    <w:name w:val="image"/>
    <w:basedOn w:val="Standard"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">
    <w:name w:val="locNameFusha"/>
    <w:basedOn w:val="Standard"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Ar">
    <w:name w:val="locNameFushaAr"/>
    <w:basedOn w:val="Standard"/>
    <w:pPr>
      <w:spacing w:before="100" w:after="100" w:line="240" w:lineRule="auto"/>
      <w:outlineLvl w:val="0"/>
    </w:pPr>
    <w:rPr>
      <w:rFonts w:eastAsia="Times New Roman"/>
      <w:bCs/>
      <w:sz w:val="24"/>
      <w:szCs w:val="24"/>
      <w:lang w:eastAsia="de-DE"/>
    </w:rPr>
  </w:style>
  <w:style w:type="paragraph" w:customStyle="1" w:styleId="locNameLoc">
    <w:name w:val="locNameLoc"/>
    <w:basedOn w:val="Standard"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geo">
    <w:name w:val="geo"/>
    <w:basedOn w:val="Standard"/>
    <w:pPr>
      <w:shd w:val="clear" w:color="auto" w:fill="FFFFFF"/>
      <w:spacing w:after="0" w:line="240" w:lineRule="auto"/>
    </w:pPr>
    <w:rPr>
      <w:sz w:val="24"/>
      <w:szCs w:val="24"/>
      <w:lang w:val="en-GB"/>
    </w:rPr>
  </w:style>
  <w:style w:type="paragraph" w:customStyle="1" w:styleId="typology">
    <w:name w:val="typology"/>
    <w:basedOn w:val="Standard"/>
    <w:pPr>
      <w:shd w:val="clear" w:color="auto" w:fill="FFFFFF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gen">
    <w:name w:val="gen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dicts">
    <w:name w:val="dicts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audio">
    <w:name w:val="audio"/>
    <w:basedOn w:val="Standard"/>
    <w:pPr>
      <w:shd w:val="clear" w:color="auto" w:fill="FFFFFF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pPr>
      <w:spacing w:after="0" w:line="240" w:lineRule="auto"/>
    </w:pPr>
    <w:rPr>
      <w:lang w:val="en-GB"/>
    </w:rPr>
  </w:style>
  <w:style w:type="paragraph" w:styleId="Kommentartext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Kommentarthema">
    <w:name w:val="annotation subject"/>
    <w:basedOn w:val="Kommentartext"/>
    <w:rPr>
      <w:b/>
      <w:bCs/>
    </w:rPr>
  </w:style>
  <w:style w:type="paragraph" w:styleId="Sprechblasentext">
    <w:name w:val="Balloon Text"/>
    <w:basedOn w:val="Standard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customStyle="1" w:styleId="Internetlink">
    <w:name w:val="Internet link"/>
    <w:basedOn w:val="Absatz-Standardschriftart"/>
    <w:rPr>
      <w:color w:val="0563C1"/>
      <w:u w:val="single"/>
    </w:rPr>
  </w:style>
  <w:style w:type="character" w:customStyle="1" w:styleId="berschrift1Zchn">
    <w:name w:val="Überschrift 1 Zchn"/>
    <w:basedOn w:val="Absatz-Standardschriftart"/>
    <w:rPr>
      <w:rFonts w:ascii="Times New Roman" w:eastAsia="Times New Roman" w:hAnsi="Times New Roman" w:cs="Times New Roman"/>
      <w:b/>
      <w:bCs/>
      <w:kern w:val="3"/>
      <w:sz w:val="48"/>
      <w:szCs w:val="48"/>
      <w:lang w:val="de-AT" w:eastAsia="de-AT"/>
    </w:rPr>
  </w:style>
  <w:style w:type="character" w:styleId="Platzhaltertext">
    <w:name w:val="Placeholder Text"/>
    <w:basedOn w:val="Absatz-Standardschriftart"/>
    <w:rPr>
      <w:color w:val="808080"/>
    </w:rPr>
  </w:style>
  <w:style w:type="character" w:customStyle="1" w:styleId="coordinates">
    <w:name w:val="coordinates"/>
    <w:basedOn w:val="Absatz-Standardschriftart"/>
  </w:style>
  <w:style w:type="character" w:styleId="Hervorhebung">
    <w:name w:val="Emphasis"/>
    <w:basedOn w:val="Absatz-Standardschriftart"/>
    <w:rPr>
      <w:i/>
      <w:iCs/>
    </w:rPr>
  </w:style>
  <w:style w:type="character" w:styleId="Kommentarzeichen">
    <w:name w:val="annotation reference"/>
    <w:basedOn w:val="Absatz-Standardschriftart"/>
    <w:rPr>
      <w:sz w:val="16"/>
      <w:szCs w:val="16"/>
    </w:rPr>
  </w:style>
  <w:style w:type="character" w:customStyle="1" w:styleId="KommentartextZchn">
    <w:name w:val="Kommentartext Zchn"/>
    <w:basedOn w:val="Absatz-Standardschriftart"/>
    <w:rPr>
      <w:sz w:val="20"/>
      <w:szCs w:val="20"/>
    </w:rPr>
  </w:style>
  <w:style w:type="character" w:customStyle="1" w:styleId="KommentarthemaZchn">
    <w:name w:val="Kommentarthema Zchn"/>
    <w:basedOn w:val="KommentartextZchn"/>
    <w:rPr>
      <w:b/>
      <w:bCs/>
      <w:sz w:val="20"/>
      <w:szCs w:val="20"/>
    </w:rPr>
  </w:style>
  <w:style w:type="character" w:customStyle="1" w:styleId="SprechblasentextZchn">
    <w:name w:val="Sprechblasentext Zchn"/>
    <w:basedOn w:val="Absatz-Standardschriftart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ools.wmflabs.org/geohack/geohack.php?pagename=Basra&amp;language=de&amp;params=30.5_N_47.816666666667_E_region:IQ-BA_type:city(1914205)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Wien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 Ercegovcevic</dc:creator>
  <cp:lastModifiedBy>Mörth, Karlheinz</cp:lastModifiedBy>
  <cp:revision>5</cp:revision>
  <dcterms:created xsi:type="dcterms:W3CDTF">2019-02-05T11:17:00Z</dcterms:created>
  <dcterms:modified xsi:type="dcterms:W3CDTF">2019-02-13T16:36:00Z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