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CB" w:rsidRDefault="002312CB">
      <w:pPr>
        <w:rPr>
          <w:lang w:val="en-GB"/>
        </w:rPr>
      </w:pPr>
    </w:p>
    <w:p w:rsidR="002312CB" w:rsidRDefault="005B50CF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2312CB" w:rsidRDefault="002312CB">
      <w:pPr>
        <w:rPr>
          <w:lang w:val="en-GB"/>
        </w:rPr>
      </w:pPr>
    </w:p>
    <w:tbl>
      <w:tblPr>
        <w:tblW w:w="90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49"/>
        <w:gridCol w:w="7534"/>
      </w:tblGrid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3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xmlID"/>
              <w:rPr>
                <w:color w:val="FFFFFF"/>
                <w:sz w:val="32"/>
                <w:szCs w:val="32"/>
                <w:highlight w:val="yellow"/>
              </w:rPr>
            </w:pPr>
            <w:r>
              <w:rPr>
                <w:color w:val="FFFFFF"/>
                <w:sz w:val="32"/>
                <w:szCs w:val="32"/>
                <w:highlight w:val="yellow"/>
              </w:rPr>
              <w:t>profile_{location}_01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Bettina </w:t>
            </w:r>
            <w:proofErr w:type="spellStart"/>
            <w:r>
              <w:rPr>
                <w:sz w:val="32"/>
                <w:szCs w:val="32"/>
              </w:rPr>
              <w:t>Leitner</w:t>
            </w:r>
            <w:proofErr w:type="spellEnd"/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101600" distL="0" distR="0">
                  <wp:extent cx="4237355" cy="2423160"/>
                  <wp:effectExtent l="0" t="0" r="0" b="0"/>
                  <wp:docPr id="1" name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355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https://www.worldtravelguide.net/features/feature/chefchaouen-the-green-city/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Bdr>
                <w:bottom w:val="single" w:sz="6" w:space="0" w:color="A2A9B1"/>
              </w:pBdr>
              <w:outlineLvl w:val="0"/>
              <w:rPr>
                <w:rFonts w:eastAsia="Times New Roman"/>
                <w:sz w:val="36"/>
                <w:szCs w:val="36"/>
                <w:lang w:val="en" w:eastAsia="de-AT"/>
              </w:rPr>
            </w:pPr>
            <w:proofErr w:type="spellStart"/>
            <w:r>
              <w:rPr>
                <w:rFonts w:eastAsia="Times New Roman"/>
                <w:sz w:val="36"/>
                <w:szCs w:val="36"/>
                <w:lang w:val="en" w:eastAsia="de-AT"/>
              </w:rPr>
              <w:t>Chefchaouen</w:t>
            </w:r>
            <w:proofErr w:type="spellEnd"/>
            <w:r>
              <w:rPr>
                <w:rFonts w:eastAsia="Times New Roman"/>
                <w:sz w:val="36"/>
                <w:szCs w:val="36"/>
                <w:lang w:val="en" w:eastAsia="de-AT"/>
              </w:rPr>
              <w:t xml:space="preserve">, </w:t>
            </w:r>
            <w:proofErr w:type="spellStart"/>
            <w:r>
              <w:rPr>
                <w:rFonts w:eastAsia="Times New Roman"/>
                <w:sz w:val="36"/>
                <w:szCs w:val="36"/>
                <w:lang w:val="en" w:eastAsia="de-AT"/>
              </w:rPr>
              <w:t>Chaouen</w:t>
            </w:r>
            <w:proofErr w:type="spellEnd"/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locNameFusha"/>
              <w:rPr>
                <w:rFonts w:eastAsia="Times New Roman"/>
                <w:sz w:val="36"/>
                <w:szCs w:val="36"/>
                <w:lang w:val="en" w:eastAsia="de-AT"/>
              </w:rPr>
            </w:pPr>
            <w:proofErr w:type="spellStart"/>
            <w:r>
              <w:rPr>
                <w:rFonts w:eastAsia="Times New Roman"/>
                <w:sz w:val="36"/>
                <w:szCs w:val="36"/>
                <w:lang w:val="en" w:eastAsia="de-AT"/>
              </w:rPr>
              <w:t>Šafšāwan</w:t>
            </w:r>
            <w:proofErr w:type="spellEnd"/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locNameFushaAr"/>
              <w:spacing w:after="0"/>
              <w:rPr>
                <w:b/>
                <w:bCs w:val="0"/>
                <w:sz w:val="36"/>
                <w:szCs w:val="36"/>
                <w:lang w:val="en" w:eastAsia="de-AT"/>
              </w:rPr>
            </w:pPr>
            <w:r>
              <w:rPr>
                <w:rFonts w:cs="Times New Roman"/>
                <w:b/>
                <w:bCs w:val="0"/>
                <w:sz w:val="36"/>
                <w:szCs w:val="36"/>
                <w:rtl/>
                <w:lang w:val="en" w:eastAsia="de-AT"/>
              </w:rPr>
              <w:t>شفشاون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Name in local </w:t>
            </w:r>
            <w:r>
              <w:rPr>
                <w:color w:val="0070C0"/>
                <w:sz w:val="32"/>
                <w:szCs w:val="32"/>
                <w:lang w:val="en-GB"/>
              </w:rPr>
              <w:t>variety (in transcription)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locNameFusha"/>
              <w:rPr>
                <w:rFonts w:eastAsia="Times New Roman"/>
                <w:i/>
                <w:iCs/>
                <w:sz w:val="36"/>
                <w:szCs w:val="36"/>
                <w:lang w:val="en" w:eastAsia="de-AT"/>
              </w:rPr>
            </w:pPr>
            <w:proofErr w:type="spellStart"/>
            <w:r>
              <w:rPr>
                <w:rFonts w:eastAsia="Times New Roman"/>
                <w:i/>
                <w:iCs/>
                <w:sz w:val="36"/>
                <w:szCs w:val="36"/>
                <w:lang w:val="en" w:eastAsia="de-AT"/>
              </w:rPr>
              <w:t>Šəfšāwən</w:t>
            </w:r>
            <w:proofErr w:type="spellEnd"/>
            <w:r>
              <w:rPr>
                <w:rFonts w:eastAsia="Times New Roman"/>
                <w:i/>
                <w:iCs/>
                <w:sz w:val="36"/>
                <w:szCs w:val="36"/>
                <w:lang w:val="en" w:eastAsia="de-AT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z w:val="36"/>
                <w:szCs w:val="36"/>
                <w:lang w:val="en" w:eastAsia="de-AT"/>
              </w:rPr>
              <w:t>Šāwən</w:t>
            </w:r>
            <w:proofErr w:type="spellEnd"/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geo"/>
            </w:pPr>
            <w:hyperlink r:id="rId9">
              <w:r>
                <w:rPr>
                  <w:rStyle w:val="Internetlink"/>
                  <w:sz w:val="32"/>
                  <w:szCs w:val="32"/>
                  <w:lang w:val="en-US"/>
                </w:rPr>
                <w:t>35°</w:t>
              </w:r>
              <w:r>
                <w:rPr>
                  <w:rStyle w:val="Internetlink"/>
                  <w:sz w:val="32"/>
                  <w:szCs w:val="32"/>
                  <w:lang w:val="en-US"/>
                </w:rPr>
                <w:t> 10′ N, 5° 16′ W</w:t>
              </w:r>
            </w:hyperlink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Typology </w:t>
            </w: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(Local)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West (Maghreb) › Morocco › Northern type </w:t>
            </w:r>
          </w:p>
          <w:p w:rsidR="002312CB" w:rsidRDefault="002312CB">
            <w:pPr>
              <w:pStyle w:val="typology"/>
              <w:rPr>
                <w:sz w:val="32"/>
                <w:szCs w:val="32"/>
                <w:highlight w:val="white"/>
              </w:rPr>
            </w:pP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(General)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typologyGen"/>
              <w:rPr>
                <w:color w:val="00000A"/>
                <w:sz w:val="32"/>
                <w:szCs w:val="32"/>
                <w:lang w:val="en-US"/>
              </w:rPr>
            </w:pPr>
            <w:r>
              <w:rPr>
                <w:color w:val="00000A"/>
                <w:sz w:val="32"/>
                <w:szCs w:val="32"/>
                <w:lang w:val="en-US"/>
              </w:rPr>
              <w:t>urban; pre-</w:t>
            </w:r>
            <w:proofErr w:type="spellStart"/>
            <w:r>
              <w:rPr>
                <w:color w:val="00000A"/>
                <w:sz w:val="32"/>
                <w:szCs w:val="32"/>
                <w:lang w:val="en-US"/>
              </w:rPr>
              <w:t>Hilalian</w:t>
            </w:r>
            <w:proofErr w:type="spellEnd"/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jc w:val="both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General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gen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Chefchaouen</w:t>
            </w:r>
            <w:proofErr w:type="spellEnd"/>
            <w:r>
              <w:rPr>
                <w:sz w:val="32"/>
                <w:szCs w:val="32"/>
              </w:rPr>
              <w:t xml:space="preserve"> is in the Rif Mountains in the </w:t>
            </w:r>
            <w:proofErr w:type="spellStart"/>
            <w:r>
              <w:rPr>
                <w:sz w:val="32"/>
                <w:szCs w:val="32"/>
              </w:rPr>
              <w:t>Jbāla</w:t>
            </w:r>
            <w:proofErr w:type="spellEnd"/>
            <w:r>
              <w:rPr>
                <w:sz w:val="32"/>
                <w:szCs w:val="32"/>
              </w:rPr>
              <w:t xml:space="preserve"> region of northern Morocco at an altitude of 600m. </w:t>
            </w:r>
          </w:p>
          <w:p w:rsidR="002312CB" w:rsidRDefault="005B50CF">
            <w:pPr>
              <w:pStyle w:val="gen"/>
              <w:jc w:val="both"/>
            </w:pPr>
            <w:r>
              <w:rPr>
                <w:sz w:val="32"/>
                <w:szCs w:val="32"/>
              </w:rPr>
              <w:t xml:space="preserve">The town was founded in the </w:t>
            </w:r>
            <w:r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century. Its local vernacular as well as its architecture was influenced by the waves of immigrants (</w:t>
            </w:r>
            <w:proofErr w:type="spellStart"/>
            <w:r>
              <w:rPr>
                <w:sz w:val="32"/>
                <w:szCs w:val="32"/>
              </w:rPr>
              <w:t>Moriscos</w:t>
            </w:r>
            <w:proofErr w:type="spellEnd"/>
            <w:r>
              <w:rPr>
                <w:sz w:val="32"/>
                <w:szCs w:val="32"/>
              </w:rPr>
              <w:t xml:space="preserve">, Muslims, and Jews) expelled from </w:t>
            </w:r>
            <w:proofErr w:type="spellStart"/>
            <w:r>
              <w:rPr>
                <w:sz w:val="32"/>
                <w:szCs w:val="32"/>
              </w:rPr>
              <w:t>al-Andalus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2312CB" w:rsidRDefault="005B50CF">
            <w:pPr>
              <w:pStyle w:val="gen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town was an important base in the fight against the Portuguese as well as for the Berber </w:t>
            </w:r>
            <w:r>
              <w:rPr>
                <w:sz w:val="32"/>
                <w:szCs w:val="32"/>
              </w:rPr>
              <w:t xml:space="preserve">tribes during the </w:t>
            </w:r>
            <w:proofErr w:type="gramStart"/>
            <w:r>
              <w:rPr>
                <w:sz w:val="32"/>
                <w:szCs w:val="32"/>
              </w:rPr>
              <w:t>Rif</w:t>
            </w:r>
            <w:proofErr w:type="gramEnd"/>
            <w:r>
              <w:rPr>
                <w:sz w:val="32"/>
                <w:szCs w:val="32"/>
              </w:rPr>
              <w:t xml:space="preserve"> war against Spain (1922-26).</w:t>
            </w:r>
          </w:p>
          <w:p w:rsidR="002312CB" w:rsidRDefault="005B50CF" w:rsidP="005B50CF">
            <w:pPr>
              <w:pStyle w:val="gen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Traditionally, the town was known for its rich agriculture and horticulture. Today tourism has </w:t>
            </w:r>
            <w:r>
              <w:rPr>
                <w:sz w:val="32"/>
                <w:szCs w:val="32"/>
              </w:rPr>
              <w:t>become its most important source of revenue.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Natividad &amp; </w:t>
            </w:r>
            <w:proofErr w:type="spellStart"/>
            <w:r>
              <w:rPr>
                <w:sz w:val="32"/>
                <w:szCs w:val="32"/>
                <w:lang w:val="en-GB"/>
              </w:rPr>
              <w:t>Rahmouni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1996 is a collection of t</w:t>
            </w:r>
            <w:r>
              <w:rPr>
                <w:sz w:val="32"/>
                <w:szCs w:val="32"/>
                <w:lang w:val="en-GB"/>
              </w:rPr>
              <w:t xml:space="preserve">exts, including several traditional recipes and one tale, in the dialect of </w:t>
            </w:r>
            <w:proofErr w:type="spellStart"/>
            <w:r>
              <w:rPr>
                <w:sz w:val="32"/>
                <w:szCs w:val="32"/>
                <w:lang w:val="en-GB"/>
              </w:rPr>
              <w:t>Chefchaouen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with attached glossary. Natividad 1998 described some phonological, morphological, syntactical, and lexical characteristics of </w:t>
            </w:r>
            <w:proofErr w:type="spellStart"/>
            <w:r>
              <w:rPr>
                <w:sz w:val="32"/>
                <w:szCs w:val="32"/>
                <w:lang w:val="en-GB"/>
              </w:rPr>
              <w:t>Chefchaouen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Arabic.</w:t>
            </w:r>
          </w:p>
          <w:p w:rsidR="002312CB" w:rsidRDefault="005B50CF" w:rsidP="005B50C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Moscoso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2002 is a des</w:t>
            </w:r>
            <w:r>
              <w:rPr>
                <w:sz w:val="32"/>
                <w:szCs w:val="32"/>
                <w:lang w:val="en-GB"/>
              </w:rPr>
              <w:t xml:space="preserve">cription of children’s games from </w:t>
            </w:r>
            <w:proofErr w:type="spellStart"/>
            <w:r>
              <w:rPr>
                <w:sz w:val="32"/>
                <w:szCs w:val="32"/>
                <w:lang w:val="en-GB"/>
              </w:rPr>
              <w:t>Chefchaouen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with linguistic remarks. </w:t>
            </w:r>
            <w:proofErr w:type="spellStart"/>
            <w:r>
              <w:rPr>
                <w:sz w:val="32"/>
                <w:szCs w:val="32"/>
              </w:rPr>
              <w:t>Moscoso</w:t>
            </w:r>
            <w:proofErr w:type="spellEnd"/>
            <w:r>
              <w:rPr>
                <w:sz w:val="32"/>
                <w:szCs w:val="32"/>
              </w:rPr>
              <w:t xml:space="preserve"> 2003a is a collection of short texts, with transcriptions and a glossary.</w:t>
            </w:r>
            <w:bookmarkStart w:id="0" w:name="_GoBack"/>
            <w:bookmarkEnd w:id="0"/>
          </w:p>
          <w:p w:rsidR="002312CB" w:rsidRDefault="005B50CF">
            <w:pPr>
              <w:pStyle w:val="researchHistory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Moscoso</w:t>
            </w:r>
            <w:proofErr w:type="spellEnd"/>
            <w:r>
              <w:rPr>
                <w:sz w:val="32"/>
                <w:szCs w:val="32"/>
              </w:rPr>
              <w:t xml:space="preserve"> 2003b is a comprehensive grammar on the dialect of </w:t>
            </w:r>
            <w:proofErr w:type="spellStart"/>
            <w:r>
              <w:rPr>
                <w:sz w:val="32"/>
                <w:szCs w:val="32"/>
              </w:rPr>
              <w:t>Chefchaouen</w:t>
            </w:r>
            <w:proofErr w:type="spellEnd"/>
            <w:r>
              <w:rPr>
                <w:sz w:val="32"/>
                <w:szCs w:val="32"/>
              </w:rPr>
              <w:t xml:space="preserve"> with texts. </w:t>
            </w:r>
          </w:p>
          <w:p w:rsidR="002312CB" w:rsidRDefault="005B50CF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Moscoso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also publis</w:t>
            </w:r>
            <w:r>
              <w:rPr>
                <w:sz w:val="32"/>
                <w:szCs w:val="32"/>
                <w:lang w:val="en-GB"/>
              </w:rPr>
              <w:t xml:space="preserve">hed a paper on the vernacular poetry and traditional songs from the </w:t>
            </w:r>
            <w:proofErr w:type="spellStart"/>
            <w:r>
              <w:rPr>
                <w:sz w:val="32"/>
                <w:szCs w:val="32"/>
                <w:lang w:val="en-GB"/>
              </w:rPr>
              <w:t>Jbala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region (2015) based on data from </w:t>
            </w:r>
            <w:proofErr w:type="spellStart"/>
            <w:r>
              <w:rPr>
                <w:sz w:val="32"/>
                <w:szCs w:val="32"/>
                <w:lang w:val="en-GB"/>
              </w:rPr>
              <w:t>Chefchaouen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collected by Pereda (2014).</w:t>
            </w:r>
          </w:p>
          <w:p w:rsidR="002312CB" w:rsidRDefault="005B50CF">
            <w:pPr>
              <w:pStyle w:val="researchHistory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Rahmouni</w:t>
            </w:r>
            <w:proofErr w:type="spellEnd"/>
            <w:r>
              <w:rPr>
                <w:sz w:val="32"/>
                <w:szCs w:val="32"/>
              </w:rPr>
              <w:t xml:space="preserve"> (2015) is a recent documentation of the oral tradition of storytelling in the town’s vernacular, inc</w:t>
            </w:r>
            <w:r>
              <w:rPr>
                <w:sz w:val="32"/>
                <w:szCs w:val="32"/>
              </w:rPr>
              <w:t>luding transliterations, translations, a study of the mode of oral performance, and information on cultural, literary, and linguistic background.</w:t>
            </w:r>
          </w:p>
          <w:p w:rsidR="002312CB" w:rsidRDefault="005B50CF">
            <w:pPr>
              <w:pStyle w:val="researchHistory"/>
              <w:jc w:val="both"/>
            </w:pPr>
            <w:r>
              <w:rPr>
                <w:sz w:val="32"/>
                <w:szCs w:val="32"/>
              </w:rPr>
              <w:t>The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CORVAM</w:t>
            </w:r>
            <w:r>
              <w:rPr>
                <w:sz w:val="32"/>
                <w:szCs w:val="32"/>
                <w:highlight w:val="white"/>
              </w:rPr>
              <w:t xml:space="preserve"> (</w:t>
            </w:r>
            <w:hyperlink r:id="rId10">
              <w:r>
                <w:rPr>
                  <w:rStyle w:val="Internetlink"/>
                  <w:sz w:val="32"/>
                  <w:szCs w:val="32"/>
                </w:rPr>
                <w:t>http://corvam.unizar.es/en/</w:t>
              </w:r>
            </w:hyperlink>
            <w:r>
              <w:rPr>
                <w:sz w:val="32"/>
                <w:szCs w:val="32"/>
              </w:rPr>
              <w:t>), a speech corpus of Ma</w:t>
            </w:r>
            <w:r>
              <w:rPr>
                <w:sz w:val="32"/>
                <w:szCs w:val="32"/>
              </w:rPr>
              <w:t xml:space="preserve">ghrebi varieties created by researchers of the University of Zaragoza, provides several texts with </w:t>
            </w:r>
            <w:r>
              <w:rPr>
                <w:sz w:val="32"/>
                <w:szCs w:val="32"/>
              </w:rPr>
              <w:lastRenderedPageBreak/>
              <w:t xml:space="preserve">translations (in either Spanish, French, or English) plus audio recordings of the Moroccan Arabic dialects of </w:t>
            </w:r>
            <w:proofErr w:type="spellStart"/>
            <w:r>
              <w:rPr>
                <w:sz w:val="32"/>
                <w:szCs w:val="32"/>
              </w:rPr>
              <w:t>Jbala</w:t>
            </w:r>
            <w:proofErr w:type="spellEnd"/>
            <w:r>
              <w:rPr>
                <w:sz w:val="32"/>
                <w:szCs w:val="32"/>
              </w:rPr>
              <w:t xml:space="preserve"> and </w:t>
            </w:r>
            <w:proofErr w:type="spellStart"/>
            <w:r>
              <w:rPr>
                <w:sz w:val="32"/>
                <w:szCs w:val="32"/>
              </w:rPr>
              <w:t>Ghomara</w:t>
            </w:r>
            <w:proofErr w:type="spellEnd"/>
            <w:r>
              <w:rPr>
                <w:sz w:val="32"/>
                <w:szCs w:val="32"/>
              </w:rPr>
              <w:t xml:space="preserve"> (a </w:t>
            </w:r>
            <w:proofErr w:type="spellStart"/>
            <w:r>
              <w:rPr>
                <w:sz w:val="32"/>
                <w:szCs w:val="32"/>
              </w:rPr>
              <w:t>subvariety</w:t>
            </w:r>
            <w:proofErr w:type="spellEnd"/>
            <w:r>
              <w:rPr>
                <w:sz w:val="32"/>
                <w:szCs w:val="32"/>
              </w:rPr>
              <w:t xml:space="preserve"> of the </w:t>
            </w:r>
            <w:proofErr w:type="spellStart"/>
            <w:r>
              <w:rPr>
                <w:sz w:val="32"/>
                <w:szCs w:val="32"/>
              </w:rPr>
              <w:t>Jbala</w:t>
            </w:r>
            <w:proofErr w:type="spellEnd"/>
            <w:r>
              <w:rPr>
                <w:sz w:val="32"/>
                <w:szCs w:val="32"/>
              </w:rPr>
              <w:t xml:space="preserve"> di</w:t>
            </w:r>
            <w:r>
              <w:rPr>
                <w:sz w:val="32"/>
                <w:szCs w:val="32"/>
              </w:rPr>
              <w:t>alect).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Dictionaries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dicts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Moscoso</w:t>
            </w:r>
            <w:proofErr w:type="spellEnd"/>
            <w:r>
              <w:rPr>
                <w:sz w:val="32"/>
                <w:szCs w:val="32"/>
              </w:rPr>
              <w:t xml:space="preserve"> 2003b also contains a glossary.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2312CB">
            <w:pPr>
              <w:pStyle w:val="textbooks"/>
              <w:rPr>
                <w:sz w:val="32"/>
                <w:szCs w:val="32"/>
                <w:highlight w:val="white"/>
              </w:rPr>
            </w:pP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pStyle w:val="audio"/>
            </w:pPr>
            <w:r>
              <w:rPr>
                <w:sz w:val="32"/>
                <w:szCs w:val="32"/>
                <w:highlight w:val="white"/>
              </w:rPr>
              <w:t xml:space="preserve">See the </w:t>
            </w:r>
            <w:proofErr w:type="spellStart"/>
            <w:r>
              <w:rPr>
                <w:sz w:val="32"/>
                <w:szCs w:val="32"/>
                <w:highlight w:val="white"/>
              </w:rPr>
              <w:t>Corvam</w:t>
            </w:r>
            <w:proofErr w:type="spellEnd"/>
            <w:r>
              <w:rPr>
                <w:sz w:val="32"/>
                <w:szCs w:val="32"/>
                <w:highlight w:val="white"/>
              </w:rPr>
              <w:t xml:space="preserve"> corpus (</w:t>
            </w:r>
            <w:hyperlink r:id="rId11">
              <w:r>
                <w:rPr>
                  <w:rStyle w:val="Internetlink"/>
                  <w:sz w:val="32"/>
                  <w:szCs w:val="32"/>
                </w:rPr>
                <w:t>http://corvam.unizar.es/en/</w:t>
              </w:r>
            </w:hyperlink>
            <w:r>
              <w:rPr>
                <w:sz w:val="32"/>
                <w:szCs w:val="32"/>
              </w:rPr>
              <w:t xml:space="preserve">) for annotated texts in the dialects of </w:t>
            </w:r>
            <w:proofErr w:type="spellStart"/>
            <w:r>
              <w:rPr>
                <w:sz w:val="32"/>
                <w:szCs w:val="32"/>
              </w:rPr>
              <w:t>Jbala</w:t>
            </w:r>
            <w:proofErr w:type="spellEnd"/>
            <w:r>
              <w:rPr>
                <w:sz w:val="32"/>
                <w:szCs w:val="32"/>
              </w:rPr>
              <w:t xml:space="preserve"> and </w:t>
            </w:r>
            <w:proofErr w:type="spellStart"/>
            <w:r>
              <w:rPr>
                <w:sz w:val="32"/>
                <w:szCs w:val="32"/>
              </w:rPr>
              <w:t>Ghomara</w:t>
            </w:r>
            <w:proofErr w:type="spellEnd"/>
            <w:r>
              <w:rPr>
                <w:sz w:val="32"/>
                <w:szCs w:val="32"/>
              </w:rPr>
              <w:t xml:space="preserve"> with </w:t>
            </w:r>
            <w:proofErr w:type="gramStart"/>
            <w:r>
              <w:rPr>
                <w:sz w:val="32"/>
                <w:szCs w:val="32"/>
              </w:rPr>
              <w:t xml:space="preserve">Spanish </w:t>
            </w:r>
            <w:r>
              <w:rPr>
                <w:sz w:val="32"/>
                <w:szCs w:val="32"/>
              </w:rPr>
              <w:t xml:space="preserve"> translations</w:t>
            </w:r>
            <w:proofErr w:type="gramEnd"/>
            <w:r>
              <w:rPr>
                <w:sz w:val="32"/>
                <w:szCs w:val="32"/>
              </w:rPr>
              <w:t>.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shd w:val="clear" w:color="auto" w:fill="FFFFFF"/>
              <w:rPr>
                <w:sz w:val="32"/>
                <w:szCs w:val="32"/>
                <w:lang w:val="es-GT"/>
              </w:rPr>
            </w:pPr>
            <w:r>
              <w:rPr>
                <w:sz w:val="32"/>
                <w:szCs w:val="32"/>
                <w:lang w:val="es-GT"/>
              </w:rPr>
              <w:t xml:space="preserve">{leave empty} 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shd w:val="clear" w:color="auto" w:fill="FFFFFF"/>
              <w:rPr>
                <w:sz w:val="32"/>
                <w:szCs w:val="32"/>
                <w:highlight w:val="white"/>
                <w:lang w:val="en-GB"/>
              </w:rPr>
            </w:pPr>
            <w:r>
              <w:rPr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2312CB">
        <w:tc>
          <w:tcPr>
            <w:tcW w:w="1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2312CB" w:rsidRDefault="005B50C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12CB" w:rsidRDefault="005B50CF">
            <w:pPr>
              <w:shd w:val="clear" w:color="auto" w:fill="FFFFFF"/>
              <w:rPr>
                <w:sz w:val="32"/>
                <w:szCs w:val="32"/>
                <w:highlight w:val="white"/>
                <w:lang w:val="en-GB"/>
              </w:rPr>
            </w:pPr>
            <w:r>
              <w:rPr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</w:tbl>
    <w:p w:rsidR="002312CB" w:rsidRDefault="002312CB">
      <w:pPr>
        <w:rPr>
          <w:lang w:val="en-GB"/>
        </w:rPr>
      </w:pPr>
    </w:p>
    <w:p w:rsidR="002312CB" w:rsidRDefault="002312CB"/>
    <w:sectPr w:rsidR="002312CB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B50CF">
      <w:r>
        <w:separator/>
      </w:r>
    </w:p>
  </w:endnote>
  <w:endnote w:type="continuationSeparator" w:id="0">
    <w:p w:rsidR="00000000" w:rsidRDefault="005B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2CB" w:rsidRDefault="002312C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2CB" w:rsidRDefault="002312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B50CF">
      <w:r>
        <w:separator/>
      </w:r>
    </w:p>
  </w:footnote>
  <w:footnote w:type="continuationSeparator" w:id="0">
    <w:p w:rsidR="00000000" w:rsidRDefault="005B5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2CB" w:rsidRDefault="002312C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2CB" w:rsidRDefault="002312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2D4"/>
    <w:multiLevelType w:val="multilevel"/>
    <w:tmpl w:val="2118F0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2CB"/>
    <w:rsid w:val="002312CB"/>
    <w:rsid w:val="005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240" w:lineRule="auto"/>
    </w:pPr>
    <w:rPr>
      <w:rFonts w:ascii="Code" w:hAnsi="Code" w:cs="Code"/>
      <w:color w:val="000000"/>
      <w:sz w:val="24"/>
      <w:szCs w:val="24"/>
      <w:lang w:val="en-US"/>
    </w:r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paragraph" w:styleId="berschrift3">
    <w:name w:val="heading 3"/>
    <w:basedOn w:val="Standard"/>
    <w:next w:val="Textkrper"/>
    <w:qFormat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coordinates">
    <w:name w:val="coordinates"/>
    <w:basedOn w:val="Absatz-Standardschriftart"/>
    <w:qFormat/>
  </w:style>
  <w:style w:type="character" w:customStyle="1" w:styleId="Betont">
    <w:name w:val="Betont"/>
    <w:basedOn w:val="Absatz-Standardschriftart"/>
    <w:qFormat/>
    <w:rPr>
      <w:i/>
      <w:iCs/>
    </w:rPr>
  </w:style>
  <w:style w:type="character" w:styleId="Kommentarzeichen">
    <w:name w:val="annotation reference"/>
    <w:basedOn w:val="Absatz-Standardschriftart"/>
    <w:qFormat/>
    <w:rPr>
      <w:sz w:val="16"/>
      <w:szCs w:val="16"/>
    </w:rPr>
  </w:style>
  <w:style w:type="character" w:customStyle="1" w:styleId="KommentartextZchn">
    <w:name w:val="Kommentartext Zchn"/>
    <w:basedOn w:val="Absatz-Standardschriftart"/>
    <w:qFormat/>
    <w:rPr>
      <w:sz w:val="20"/>
      <w:szCs w:val="20"/>
    </w:rPr>
  </w:style>
  <w:style w:type="character" w:customStyle="1" w:styleId="KommentarthemaZchn">
    <w:name w:val="Kommentarthema Zchn"/>
    <w:basedOn w:val="KommentartextZchn"/>
    <w:qFormat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qFormat/>
    <w:rPr>
      <w:rFonts w:ascii="Segoe UI" w:hAnsi="Segoe UI" w:cs="Segoe UI"/>
      <w:sz w:val="18"/>
      <w:szCs w:val="18"/>
    </w:rPr>
  </w:style>
  <w:style w:type="character" w:customStyle="1" w:styleId="plainlinks">
    <w:name w:val="plainlinks"/>
    <w:basedOn w:val="Absatz-Standardschriftart"/>
    <w:qFormat/>
  </w:style>
  <w:style w:type="character" w:customStyle="1" w:styleId="geo-dms">
    <w:name w:val="geo-dms"/>
    <w:basedOn w:val="Absatz-Standardschriftart"/>
    <w:qFormat/>
  </w:style>
  <w:style w:type="character" w:customStyle="1" w:styleId="latitude">
    <w:name w:val="latitude"/>
    <w:basedOn w:val="Absatz-Standardschriftart"/>
    <w:qFormat/>
  </w:style>
  <w:style w:type="character" w:customStyle="1" w:styleId="longitude">
    <w:name w:val="longitude"/>
    <w:basedOn w:val="Absatz-Standardschriftart"/>
    <w:qFormat/>
  </w:style>
  <w:style w:type="character" w:customStyle="1" w:styleId="a">
    <w:name w:val="a"/>
    <w:basedOn w:val="Absatz-Standardschriftart"/>
    <w:qFormat/>
  </w:style>
  <w:style w:type="character" w:customStyle="1" w:styleId="berschrift3Zchn">
    <w:name w:val="Überschrift 3 Zchn"/>
    <w:basedOn w:val="Absatz-Standardschriftart"/>
    <w:qFormat/>
    <w:rPr>
      <w:rFonts w:ascii="Calibri Light" w:hAnsi="Calibri Light"/>
      <w:color w:val="1F4D78"/>
      <w:sz w:val="24"/>
      <w:szCs w:val="24"/>
    </w:rPr>
  </w:style>
  <w:style w:type="character" w:customStyle="1" w:styleId="citationitalic">
    <w:name w:val="citationitalic"/>
    <w:basedOn w:val="Absatz-Standardschriftart"/>
    <w:qFormat/>
  </w:style>
  <w:style w:type="character" w:customStyle="1" w:styleId="FunotentextZchn">
    <w:name w:val="Fußnotentext Zchn"/>
    <w:basedOn w:val="Absatz-Standardschriftart"/>
    <w:qFormat/>
    <w:rPr>
      <w:sz w:val="20"/>
      <w:szCs w:val="20"/>
    </w:rPr>
  </w:style>
  <w:style w:type="character" w:styleId="Funotenzeichen">
    <w:name w:val="footnote reference"/>
    <w:basedOn w:val="Absatz-Standardschriftart"/>
    <w:qFormat/>
    <w:rPr>
      <w:vertAlign w:val="superscript"/>
    </w:rPr>
  </w:style>
  <w:style w:type="character" w:customStyle="1" w:styleId="Starkbetont">
    <w:name w:val="Stark betont"/>
    <w:basedOn w:val="Absatz-Standardschriftart"/>
    <w:qFormat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rPr>
      <w:bCs/>
      <w:lang w:val="en-GB"/>
    </w:rPr>
  </w:style>
  <w:style w:type="paragraph" w:customStyle="1" w:styleId="author">
    <w:name w:val="author"/>
    <w:basedOn w:val="Standard"/>
    <w:qFormat/>
    <w:rPr>
      <w:lang w:val="en-GB"/>
    </w:rPr>
  </w:style>
  <w:style w:type="paragraph" w:customStyle="1" w:styleId="imageCopyright">
    <w:name w:val="imageCopyright"/>
    <w:basedOn w:val="Standard"/>
    <w:qFormat/>
    <w:rPr>
      <w:lang w:val="en-GB"/>
    </w:rPr>
  </w:style>
  <w:style w:type="paragraph" w:customStyle="1" w:styleId="image">
    <w:name w:val="image"/>
    <w:basedOn w:val="Standard"/>
    <w:qFormat/>
    <w:rPr>
      <w:color w:val="FF0000"/>
      <w:lang w:val="en-GB"/>
    </w:rPr>
  </w:style>
  <w:style w:type="paragraph" w:customStyle="1" w:styleId="locNameEng">
    <w:name w:val="locNameEng"/>
    <w:basedOn w:val="Standard"/>
    <w:qFormat/>
    <w:rPr>
      <w:lang w:val="en-GB"/>
    </w:rPr>
  </w:style>
  <w:style w:type="paragraph" w:customStyle="1" w:styleId="locNameFusha">
    <w:name w:val="locNameFusha"/>
    <w:basedOn w:val="Standard"/>
    <w:qFormat/>
    <w:rPr>
      <w:lang w:val="en-GB"/>
    </w:rPr>
  </w:style>
  <w:style w:type="paragraph" w:customStyle="1" w:styleId="locNameFushaAr">
    <w:name w:val="locNameFushaAr"/>
    <w:basedOn w:val="Standard"/>
    <w:qFormat/>
    <w:pPr>
      <w:spacing w:before="100" w:after="100"/>
      <w:outlineLvl w:val="0"/>
    </w:pPr>
    <w:rPr>
      <w:rFonts w:eastAsia="Times New Roman"/>
      <w:bCs/>
      <w:lang w:eastAsia="de-DE"/>
    </w:rPr>
  </w:style>
  <w:style w:type="paragraph" w:customStyle="1" w:styleId="locNameLoc">
    <w:name w:val="locNameLoc"/>
    <w:basedOn w:val="Standard"/>
    <w:qFormat/>
    <w:rPr>
      <w:color w:val="FF0000"/>
      <w:lang w:val="en-GB"/>
    </w:rPr>
  </w:style>
  <w:style w:type="paragraph" w:customStyle="1" w:styleId="geo">
    <w:name w:val="geo"/>
    <w:basedOn w:val="Standard"/>
    <w:qFormat/>
    <w:pPr>
      <w:shd w:val="clear" w:color="auto" w:fill="FFFFFF"/>
    </w:pPr>
    <w:rPr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</w:pPr>
  </w:style>
  <w:style w:type="paragraph" w:customStyle="1" w:styleId="typologyGen">
    <w:name w:val="typologyGen"/>
    <w:basedOn w:val="Standard"/>
    <w:qFormat/>
    <w:pPr>
      <w:shd w:val="clear" w:color="auto" w:fill="FFFFFF"/>
    </w:pPr>
    <w:rPr>
      <w:lang w:val="en-GB"/>
    </w:rPr>
  </w:style>
  <w:style w:type="paragraph" w:customStyle="1" w:styleId="gen">
    <w:name w:val="gen"/>
    <w:basedOn w:val="Standard"/>
    <w:qFormat/>
    <w:pPr>
      <w:shd w:val="clear" w:color="auto" w:fill="FFFFFF"/>
    </w:pPr>
    <w:rPr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</w:pPr>
    <w:rPr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</w:pPr>
    <w:rPr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</w:pPr>
    <w:rPr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</w:pPr>
  </w:style>
  <w:style w:type="paragraph" w:customStyle="1" w:styleId="biblio">
    <w:name w:val="biblio"/>
    <w:basedOn w:val="Literaturverzeichnis"/>
    <w:qFormat/>
    <w:rPr>
      <w:lang w:val="en-GB"/>
    </w:r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styleId="Sprechblasentext">
    <w:name w:val="Balloon Text"/>
    <w:basedOn w:val="Standard"/>
    <w:qFormat/>
    <w:rPr>
      <w:rFonts w:ascii="Segoe UI" w:hAnsi="Segoe UI" w:cs="Segoe UI"/>
      <w:sz w:val="18"/>
      <w:szCs w:val="18"/>
    </w:rPr>
  </w:style>
  <w:style w:type="paragraph" w:customStyle="1" w:styleId="bibl">
    <w:name w:val="bibl"/>
    <w:basedOn w:val="Standard"/>
    <w:qFormat/>
    <w:pPr>
      <w:spacing w:before="100" w:after="100"/>
    </w:pPr>
    <w:rPr>
      <w:rFonts w:ascii="Times New Roman" w:eastAsia="Times New Roman" w:hAnsi="Times New Roman" w:cs="Times New Roman"/>
    </w:r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rvam.unizar.es/e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orvam.unizar.es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wmflabs.org/geohack/geohack.php?pagename=Chefchaouen&amp;language=de&amp;params=35.171388888889_N_5.2697222222222_W_dim:25000_region:MA_type:city(42786)&amp;title=Chefchaou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2739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Stephan</cp:lastModifiedBy>
  <cp:revision>5</cp:revision>
  <dcterms:created xsi:type="dcterms:W3CDTF">2018-11-05T15:45:00Z</dcterms:created>
  <dcterms:modified xsi:type="dcterms:W3CDTF">2018-11-16T13:46:00Z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