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5CD" w:rsidRDefault="002E35CD">
      <w:pPr>
        <w:rPr>
          <w:lang w:val="en-GB"/>
        </w:rPr>
      </w:pPr>
    </w:p>
    <w:p w:rsidR="002E35CD" w:rsidRDefault="00706C3F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2E35CD" w:rsidRDefault="002E35CD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7037"/>
      </w:tblGrid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03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xmlID"/>
              <w:rPr>
                <w:color w:val="FFFFFF"/>
                <w:sz w:val="32"/>
                <w:szCs w:val="32"/>
                <w:shd w:val="clear" w:color="auto" w:fill="FFFF00"/>
              </w:rPr>
            </w:pPr>
            <w:r>
              <w:rPr>
                <w:color w:val="FFFFFF"/>
                <w:sz w:val="32"/>
                <w:szCs w:val="32"/>
                <w:shd w:val="clear" w:color="auto" w:fill="FFFF00"/>
              </w:rPr>
              <w:t>profile_{location}_01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Bettina Leitner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2F789E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4313853" cy="2875800"/>
                  <wp:effectExtent l="0" t="0" r="0" b="1270"/>
                  <wp:docPr id="2" name="Grafik 2" descr="https://images.gulfnews.com/polopoly-images/2017/7/27/1.2065092_14594884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.gulfnews.com/polopoly-images/2017/7/27/1.2065092_14594884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348" cy="289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Pr="002F789E" w:rsidRDefault="002F789E">
            <w:pPr>
              <w:pStyle w:val="imageCopyright"/>
              <w:rPr>
                <w:sz w:val="32"/>
                <w:szCs w:val="32"/>
                <w:shd w:val="clear" w:color="auto" w:fill="FFFF00"/>
              </w:rPr>
            </w:pPr>
            <w:r w:rsidRPr="002F789E">
              <w:rPr>
                <w:sz w:val="32"/>
                <w:szCs w:val="32"/>
                <w:shd w:val="clear" w:color="auto" w:fill="FFFF00"/>
              </w:rPr>
              <w:t>https://gulfnews.com/business/analysis/revival-of-mega-projects-hera</w:t>
            </w:r>
            <w:bookmarkStart w:id="0" w:name="_GoBack"/>
            <w:bookmarkEnd w:id="0"/>
            <w:r w:rsidRPr="002F789E">
              <w:rPr>
                <w:sz w:val="32"/>
                <w:szCs w:val="32"/>
                <w:shd w:val="clear" w:color="auto" w:fill="FFFF00"/>
              </w:rPr>
              <w:t>lds-positives-for-kuwait-1.2251117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outlineLvl w:val="0"/>
              <w:rPr>
                <w:rFonts w:eastAsia="Times New Roman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sz w:val="36"/>
                <w:szCs w:val="36"/>
                <w:lang w:eastAsia="de-AT"/>
              </w:rPr>
              <w:t>Kuwait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locNameFush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al-</w:t>
            </w:r>
            <w:proofErr w:type="spellStart"/>
            <w:r>
              <w:rPr>
                <w:sz w:val="32"/>
                <w:szCs w:val="32"/>
              </w:rPr>
              <w:t>Kuwayt</w:t>
            </w:r>
            <w:proofErr w:type="spellEnd"/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locNameFushaAr"/>
              <w:spacing w:after="0"/>
              <w:rPr>
                <w:b/>
                <w:bCs w:val="0"/>
                <w:sz w:val="36"/>
                <w:szCs w:val="36"/>
              </w:rPr>
            </w:pPr>
            <w:r>
              <w:rPr>
                <w:rFonts w:cs="Times New Roman"/>
                <w:b/>
                <w:bCs w:val="0"/>
                <w:sz w:val="36"/>
                <w:szCs w:val="36"/>
                <w:rtl/>
              </w:rPr>
              <w:t>الكويت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r>
              <w:rPr>
                <w:color w:val="0070C0"/>
                <w:sz w:val="32"/>
                <w:szCs w:val="32"/>
                <w:lang w:val="en-GB"/>
              </w:rPr>
              <w:t xml:space="preserve">Name in local variety </w:t>
            </w:r>
            <w:r>
              <w:rPr>
                <w:color w:val="0070C0"/>
                <w:sz w:val="32"/>
                <w:szCs w:val="32"/>
                <w:lang w:val="en-GB"/>
              </w:rPr>
              <w:t>(in transcription)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locNameFushaAr"/>
              <w:spacing w:after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lə-kwēt</w:t>
            </w:r>
            <w:proofErr w:type="spellEnd"/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geo"/>
            </w:pPr>
            <w:hyperlink r:id="rId7" w:history="1">
              <w:r>
                <w:rPr>
                  <w:sz w:val="32"/>
                  <w:szCs w:val="32"/>
                  <w:lang w:val="en-US"/>
                </w:rPr>
                <w:t>29°22′11″N 47°58′42″E</w:t>
              </w:r>
            </w:hyperlink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(Local)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</w:pPr>
            <w:r>
              <w:rPr>
                <w:sz w:val="32"/>
                <w:szCs w:val="32"/>
              </w:rPr>
              <w:t>East (Mashreq) › Arabia › Northern group ›</w:t>
            </w:r>
            <w:r>
              <w:t xml:space="preserve"> </w:t>
            </w:r>
            <w:r>
              <w:rPr>
                <w:sz w:val="32"/>
                <w:szCs w:val="32"/>
              </w:rPr>
              <w:t>Central Najd (</w:t>
            </w:r>
            <w:proofErr w:type="spellStart"/>
            <w:r>
              <w:rPr>
                <w:sz w:val="32"/>
                <w:szCs w:val="32"/>
              </w:rPr>
              <w:t>ˁAnaza</w:t>
            </w:r>
            <w:proofErr w:type="spellEnd"/>
            <w:r>
              <w:rPr>
                <w:sz w:val="32"/>
                <w:szCs w:val="32"/>
              </w:rPr>
              <w:t>) › Gulf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Typology (General)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typologyGen"/>
            </w:pPr>
            <w:r>
              <w:rPr>
                <w:sz w:val="32"/>
                <w:szCs w:val="32"/>
                <w:shd w:val="clear" w:color="auto" w:fill="FFFFFF"/>
                <w:lang w:val="en-US"/>
              </w:rPr>
              <w:t xml:space="preserve">(originally </w:t>
            </w:r>
            <w:proofErr w:type="spellStart"/>
            <w:r>
              <w:rPr>
                <w:sz w:val="32"/>
                <w:szCs w:val="32"/>
                <w:shd w:val="clear" w:color="auto" w:fill="FFFFFF"/>
                <w:lang w:val="en-US"/>
              </w:rPr>
              <w:t>Najdi</w:t>
            </w:r>
            <w:proofErr w:type="spellEnd"/>
            <w:r>
              <w:rPr>
                <w:sz w:val="32"/>
                <w:szCs w:val="32"/>
                <w:shd w:val="clear" w:color="auto" w:fill="FFFFFF"/>
                <w:lang w:val="en-US"/>
              </w:rPr>
              <w:t>) Bedouin-type dialect</w:t>
            </w:r>
            <w:r>
              <w:rPr>
                <w:sz w:val="32"/>
                <w:szCs w:val="32"/>
              </w:rPr>
              <w:t>; Gulf Arabic with links to southern Iraq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jc w:val="both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General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Before the discovery of oil in the 1930s the main occupations in Kuwait were trading, fishing, and boat building on </w:t>
            </w:r>
            <w:r>
              <w:rPr>
                <w:sz w:val="32"/>
                <w:szCs w:val="32"/>
              </w:rPr>
              <w:t xml:space="preserve">the coast and nomadic herding in the interior. </w:t>
            </w:r>
            <w:proofErr w:type="gramStart"/>
            <w:r>
              <w:rPr>
                <w:sz w:val="32"/>
                <w:szCs w:val="32"/>
              </w:rPr>
              <w:t>As a consequence of</w:t>
            </w:r>
            <w:proofErr w:type="gramEnd"/>
            <w:r>
              <w:rPr>
                <w:sz w:val="32"/>
                <w:szCs w:val="32"/>
              </w:rPr>
              <w:t xml:space="preserve"> the oil production, which constitutes about 90% of the state’s income, modern Kuwait has developed into a wealthy and highly-urbanised state.</w:t>
            </w:r>
          </w:p>
          <w:p w:rsidR="002E35CD" w:rsidRDefault="00706C3F">
            <w:pPr>
              <w:pStyle w:val="gen"/>
              <w:jc w:val="both"/>
            </w:pPr>
            <w:r>
              <w:rPr>
                <w:sz w:val="32"/>
                <w:szCs w:val="32"/>
              </w:rPr>
              <w:t xml:space="preserve">The modern town Kuwait </w:t>
            </w:r>
            <w:r>
              <w:rPr>
                <w:color w:val="00000A"/>
                <w:sz w:val="32"/>
                <w:szCs w:val="32"/>
              </w:rPr>
              <w:t xml:space="preserve">City </w:t>
            </w:r>
            <w:r>
              <w:rPr>
                <w:sz w:val="32"/>
                <w:szCs w:val="32"/>
              </w:rPr>
              <w:t xml:space="preserve">was founded in the </w:t>
            </w:r>
            <w:r>
              <w:rPr>
                <w:sz w:val="32"/>
                <w:szCs w:val="32"/>
              </w:rPr>
              <w:t>early 18</w:t>
            </w:r>
            <w:r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century after the immigration of </w:t>
            </w:r>
            <w:r>
              <w:rPr>
                <w:color w:val="00000A"/>
                <w:sz w:val="32"/>
                <w:szCs w:val="32"/>
              </w:rPr>
              <w:t xml:space="preserve">Bedouin tribes from the Najd. </w:t>
            </w:r>
            <w:proofErr w:type="gramStart"/>
            <w:r>
              <w:rPr>
                <w:color w:val="00000A"/>
                <w:sz w:val="32"/>
                <w:szCs w:val="32"/>
              </w:rPr>
              <w:t>The majority of</w:t>
            </w:r>
            <w:proofErr w:type="gramEnd"/>
            <w:r>
              <w:rPr>
                <w:color w:val="00000A"/>
                <w:sz w:val="32"/>
                <w:szCs w:val="32"/>
              </w:rPr>
              <w:t xml:space="preserve"> today’s population is Sunni, but there is a significant Shiite minority. About </w:t>
            </w:r>
            <w:r>
              <w:rPr>
                <w:sz w:val="32"/>
                <w:szCs w:val="32"/>
              </w:rPr>
              <w:t xml:space="preserve">two-thirds of the country’s population and work force are expatriates from other Arab </w:t>
            </w:r>
            <w:r>
              <w:rPr>
                <w:sz w:val="32"/>
                <w:szCs w:val="32"/>
              </w:rPr>
              <w:t xml:space="preserve">nations and southern Asia.  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researchHistory"/>
              <w:jc w:val="both"/>
            </w:pPr>
            <w:r>
              <w:rPr>
                <w:sz w:val="32"/>
                <w:szCs w:val="32"/>
              </w:rPr>
              <w:t xml:space="preserve">The earliest dialectological investigations on spoken Arabic in Kuwait were done by the </w:t>
            </w:r>
            <w:r>
              <w:rPr>
                <w:color w:val="00000A"/>
                <w:sz w:val="32"/>
                <w:szCs w:val="32"/>
              </w:rPr>
              <w:t xml:space="preserve">British </w:t>
            </w:r>
            <w:proofErr w:type="spellStart"/>
            <w:r>
              <w:rPr>
                <w:sz w:val="32"/>
                <w:szCs w:val="32"/>
              </w:rPr>
              <w:t>Arabist</w:t>
            </w:r>
            <w:proofErr w:type="spellEnd"/>
            <w:r>
              <w:rPr>
                <w:sz w:val="32"/>
                <w:szCs w:val="32"/>
              </w:rPr>
              <w:t xml:space="preserve"> Thomas M. Johnstone (Johnstone 1961, Johnstone 1964) on the dialect of the </w:t>
            </w:r>
            <w:proofErr w:type="spellStart"/>
            <w:r>
              <w:rPr>
                <w:sz w:val="32"/>
                <w:szCs w:val="32"/>
              </w:rPr>
              <w:t>Dōsiri</w:t>
            </w:r>
            <w:proofErr w:type="spellEnd"/>
            <w:r>
              <w:rPr>
                <w:sz w:val="32"/>
                <w:szCs w:val="32"/>
              </w:rPr>
              <w:t xml:space="preserve"> of Kuwait. Johnstone </w:t>
            </w:r>
            <w:r>
              <w:rPr>
                <w:sz w:val="32"/>
                <w:szCs w:val="32"/>
              </w:rPr>
              <w:t xml:space="preserve">1967 is a general study of Gulf littoral dialects (Kuwaiti, </w:t>
            </w:r>
            <w:proofErr w:type="spellStart"/>
            <w:r>
              <w:rPr>
                <w:sz w:val="32"/>
                <w:szCs w:val="32"/>
              </w:rPr>
              <w:t>Ba</w:t>
            </w:r>
            <w:r>
              <w:rPr>
                <w:sz w:val="32"/>
                <w:szCs w:val="32"/>
              </w:rPr>
              <w:t>ḥ</w:t>
            </w:r>
            <w:r>
              <w:rPr>
                <w:sz w:val="32"/>
                <w:szCs w:val="32"/>
              </w:rPr>
              <w:t>rayni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Qa</w:t>
            </w:r>
            <w:r>
              <w:rPr>
                <w:sz w:val="32"/>
                <w:szCs w:val="32"/>
              </w:rPr>
              <w:t>ṭ</w:t>
            </w:r>
            <w:r>
              <w:rPr>
                <w:sz w:val="32"/>
                <w:szCs w:val="32"/>
              </w:rPr>
              <w:t>ari</w:t>
            </w:r>
            <w:proofErr w:type="spellEnd"/>
            <w:r>
              <w:rPr>
                <w:sz w:val="32"/>
                <w:szCs w:val="32"/>
              </w:rPr>
              <w:t xml:space="preserve">, and the dialects of the </w:t>
            </w:r>
            <w:r>
              <w:rPr>
                <w:color w:val="00000A"/>
                <w:sz w:val="32"/>
                <w:szCs w:val="32"/>
              </w:rPr>
              <w:t>Emirates</w:t>
            </w:r>
            <w:r>
              <w:rPr>
                <w:sz w:val="32"/>
                <w:szCs w:val="32"/>
              </w:rPr>
              <w:t>).</w:t>
            </w:r>
          </w:p>
          <w:p w:rsidR="002E35CD" w:rsidRDefault="00706C3F">
            <w:pPr>
              <w:pStyle w:val="researchHistory"/>
              <w:jc w:val="both"/>
            </w:pPr>
            <w:proofErr w:type="spellStart"/>
            <w:r>
              <w:rPr>
                <w:sz w:val="32"/>
                <w:szCs w:val="32"/>
              </w:rPr>
              <w:t>Ma</w:t>
            </w:r>
            <w:r>
              <w:rPr>
                <w:sz w:val="32"/>
                <w:szCs w:val="32"/>
              </w:rPr>
              <w:t>ṭ</w:t>
            </w:r>
            <w:r>
              <w:rPr>
                <w:sz w:val="32"/>
                <w:szCs w:val="32"/>
              </w:rPr>
              <w:t>ar</w:t>
            </w:r>
            <w:proofErr w:type="spellEnd"/>
            <w:r>
              <w:rPr>
                <w:sz w:val="32"/>
                <w:szCs w:val="32"/>
              </w:rPr>
              <w:t xml:space="preserve"> 1969 and </w:t>
            </w:r>
            <w:proofErr w:type="spellStart"/>
            <w:r>
              <w:rPr>
                <w:sz w:val="32"/>
                <w:szCs w:val="32"/>
              </w:rPr>
              <w:t>Ma</w:t>
            </w:r>
            <w:r>
              <w:rPr>
                <w:sz w:val="32"/>
                <w:szCs w:val="32"/>
              </w:rPr>
              <w:t>ṭ</w:t>
            </w:r>
            <w:r>
              <w:rPr>
                <w:sz w:val="32"/>
                <w:szCs w:val="32"/>
              </w:rPr>
              <w:t>ar</w:t>
            </w:r>
            <w:proofErr w:type="spellEnd"/>
            <w:r>
              <w:rPr>
                <w:sz w:val="32"/>
                <w:szCs w:val="32"/>
              </w:rPr>
              <w:t xml:space="preserve"> 1970 are two monographs written in Arabic describing the phonology and morphology of Kuwaiti Arabic, with numerous exampl</w:t>
            </w:r>
            <w:r>
              <w:rPr>
                <w:sz w:val="32"/>
                <w:szCs w:val="32"/>
              </w:rPr>
              <w:t xml:space="preserve">es. </w:t>
            </w:r>
            <w:proofErr w:type="spellStart"/>
            <w:r>
              <w:rPr>
                <w:sz w:val="32"/>
                <w:szCs w:val="32"/>
              </w:rPr>
              <w:t>Ingham</w:t>
            </w:r>
            <w:proofErr w:type="spellEnd"/>
            <w:r>
              <w:rPr>
                <w:sz w:val="32"/>
                <w:szCs w:val="32"/>
              </w:rPr>
              <w:t xml:space="preserve"> 1982 is a comparative study of the Bedouin-</w:t>
            </w:r>
            <w:r>
              <w:rPr>
                <w:color w:val="00000A"/>
                <w:sz w:val="32"/>
                <w:szCs w:val="32"/>
              </w:rPr>
              <w:t xml:space="preserve">type </w:t>
            </w:r>
            <w:proofErr w:type="spellStart"/>
            <w:r>
              <w:rPr>
                <w:sz w:val="32"/>
                <w:szCs w:val="32"/>
              </w:rPr>
              <w:t>northeastern</w:t>
            </w:r>
            <w:proofErr w:type="spellEnd"/>
            <w:r>
              <w:rPr>
                <w:sz w:val="32"/>
                <w:szCs w:val="32"/>
              </w:rPr>
              <w:t xml:space="preserve"> Arabian dialects, in which Kuwait is included.</w:t>
            </w:r>
          </w:p>
          <w:p w:rsidR="002E35CD" w:rsidRDefault="00706C3F">
            <w:pPr>
              <w:pStyle w:val="researchHistory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Sabʿān</w:t>
            </w:r>
            <w:proofErr w:type="spellEnd"/>
            <w:r>
              <w:rPr>
                <w:sz w:val="32"/>
                <w:szCs w:val="32"/>
              </w:rPr>
              <w:t xml:space="preserve"> (1983) is a brief study written in Arabic of Kuwaiti neologisms and borrowings.</w:t>
            </w:r>
          </w:p>
          <w:p w:rsidR="002E35CD" w:rsidRDefault="00706C3F">
            <w:pPr>
              <w:pStyle w:val="researchHistory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Brustad 2000 includes Kuwaiti Arabic in her in-d</w:t>
            </w:r>
            <w:r>
              <w:rPr>
                <w:sz w:val="32"/>
                <w:szCs w:val="32"/>
              </w:rPr>
              <w:t>epth survey of the syntax of modern spoken Arabic.</w:t>
            </w:r>
          </w:p>
          <w:p w:rsidR="002E35CD" w:rsidRDefault="00706C3F">
            <w:pPr>
              <w:pStyle w:val="researchHistory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Yassin (1977, 1978, 1982) published three papers on aspects of Kuwaiti Arabic semantics and syntax.</w:t>
            </w:r>
          </w:p>
          <w:p w:rsidR="002E35CD" w:rsidRDefault="00706C3F">
            <w:pPr>
              <w:pStyle w:val="researchHistory"/>
              <w:jc w:val="both"/>
            </w:pPr>
            <w:r>
              <w:rPr>
                <w:sz w:val="32"/>
                <w:szCs w:val="32"/>
              </w:rPr>
              <w:t xml:space="preserve">There are </w:t>
            </w:r>
            <w:r>
              <w:rPr>
                <w:color w:val="00000A"/>
                <w:sz w:val="32"/>
                <w:szCs w:val="32"/>
              </w:rPr>
              <w:t xml:space="preserve">some recent papers published on the contemporary dialect of Kuwait (al-Bader 2015, 2016; </w:t>
            </w:r>
            <w:proofErr w:type="spellStart"/>
            <w:r>
              <w:rPr>
                <w:color w:val="00000A"/>
                <w:sz w:val="32"/>
                <w:szCs w:val="32"/>
              </w:rPr>
              <w:t>Tsukan</w:t>
            </w:r>
            <w:r>
              <w:rPr>
                <w:color w:val="00000A"/>
                <w:sz w:val="32"/>
                <w:szCs w:val="32"/>
              </w:rPr>
              <w:t>ova</w:t>
            </w:r>
            <w:proofErr w:type="spellEnd"/>
            <w:r>
              <w:rPr>
                <w:color w:val="00000A"/>
                <w:sz w:val="32"/>
                <w:szCs w:val="32"/>
              </w:rPr>
              <w:t xml:space="preserve"> 2008); but no comprehensive dialectological or </w:t>
            </w:r>
            <w:r>
              <w:rPr>
                <w:sz w:val="32"/>
                <w:szCs w:val="32"/>
              </w:rPr>
              <w:t>sociolinguistic study of Kuwait City has been done in recent years.</w:t>
            </w:r>
          </w:p>
          <w:p w:rsidR="002E35CD" w:rsidRDefault="00706C3F">
            <w:pPr>
              <w:pStyle w:val="researchHistory"/>
              <w:jc w:val="both"/>
              <w:rPr>
                <w:color w:val="00000A"/>
                <w:sz w:val="32"/>
                <w:szCs w:val="32"/>
              </w:rPr>
            </w:pPr>
            <w:r>
              <w:rPr>
                <w:color w:val="00000A"/>
                <w:sz w:val="32"/>
                <w:szCs w:val="32"/>
              </w:rPr>
              <w:t>Holes (2007) is a recent encyclopaedia entry with some sociolinguistic background, an overview of Kuwaiti Arabic grammar, and bibliograph</w:t>
            </w:r>
            <w:r>
              <w:rPr>
                <w:color w:val="00000A"/>
                <w:sz w:val="32"/>
                <w:szCs w:val="32"/>
              </w:rPr>
              <w:t>ical references.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lastRenderedPageBreak/>
              <w:t>Dictionaries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dicts"/>
              <w:rPr>
                <w:color w:val="00000A"/>
                <w:sz w:val="32"/>
                <w:szCs w:val="32"/>
              </w:rPr>
            </w:pPr>
            <w:proofErr w:type="spellStart"/>
            <w:r>
              <w:rPr>
                <w:color w:val="00000A"/>
                <w:sz w:val="32"/>
                <w:szCs w:val="32"/>
              </w:rPr>
              <w:t>Qafisheh</w:t>
            </w:r>
            <w:proofErr w:type="spellEnd"/>
            <w:r>
              <w:rPr>
                <w:color w:val="00000A"/>
                <w:sz w:val="32"/>
                <w:szCs w:val="32"/>
              </w:rPr>
              <w:t xml:space="preserve"> (1996) is a glossary of Gulf Arabic vocabulary.</w:t>
            </w:r>
          </w:p>
          <w:p w:rsidR="002E35CD" w:rsidRDefault="00706C3F">
            <w:pPr>
              <w:pStyle w:val="researchHistory"/>
              <w:jc w:val="both"/>
            </w:pPr>
            <w:proofErr w:type="spellStart"/>
            <w:r>
              <w:rPr>
                <w:color w:val="00000A"/>
                <w:sz w:val="32"/>
                <w:szCs w:val="32"/>
              </w:rPr>
              <w:t>Ḥ</w:t>
            </w:r>
            <w:r>
              <w:rPr>
                <w:color w:val="00000A"/>
                <w:sz w:val="32"/>
                <w:szCs w:val="32"/>
              </w:rPr>
              <w:t>anafī</w:t>
            </w:r>
            <w:proofErr w:type="spellEnd"/>
            <w:r>
              <w:rPr>
                <w:color w:val="00000A"/>
                <w:sz w:val="32"/>
                <w:szCs w:val="32"/>
              </w:rPr>
              <w:t xml:space="preserve"> (1964) is a study written in Arabic of the lexicon of pre-oil Kuwait</w:t>
            </w:r>
            <w:r>
              <w:rPr>
                <w:sz w:val="32"/>
                <w:szCs w:val="32"/>
              </w:rPr>
              <w:t xml:space="preserve">. The </w:t>
            </w:r>
            <w:proofErr w:type="spellStart"/>
            <w:r>
              <w:rPr>
                <w:sz w:val="32"/>
                <w:szCs w:val="32"/>
              </w:rPr>
              <w:t>Gumar</w:t>
            </w:r>
            <w:proofErr w:type="spellEnd"/>
            <w:r>
              <w:rPr>
                <w:sz w:val="32"/>
                <w:szCs w:val="32"/>
              </w:rPr>
              <w:t xml:space="preserve"> Corpus (</w:t>
            </w:r>
            <w:hyperlink r:id="rId8" w:history="1">
              <w:r>
                <w:rPr>
                  <w:sz w:val="32"/>
                  <w:szCs w:val="32"/>
                </w:rPr>
                <w:t>https://camel.abud</w:t>
              </w:r>
              <w:r>
                <w:rPr>
                  <w:sz w:val="32"/>
                  <w:szCs w:val="32"/>
                </w:rPr>
                <w:t>habi.nyu.edu/gumar/</w:t>
              </w:r>
            </w:hyperlink>
            <w:r>
              <w:rPr>
                <w:sz w:val="32"/>
                <w:szCs w:val="32"/>
              </w:rPr>
              <w:t>) is an online collection of Gulf Arabic conversational novels (written in Arabic script) that can be scanned for specific lexical items.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pStyle w:val="textbooks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Qafisheh</w:t>
            </w:r>
            <w:proofErr w:type="spellEnd"/>
            <w:r>
              <w:rPr>
                <w:sz w:val="32"/>
                <w:szCs w:val="32"/>
              </w:rPr>
              <w:t xml:space="preserve"> (1975) is a textbook for the study of Gulf Arabic.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2E35CD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2E35CD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5CD" w:rsidRDefault="00706C3F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</w:tbl>
    <w:p w:rsidR="002E35CD" w:rsidRDefault="002E35CD">
      <w:pPr>
        <w:rPr>
          <w:lang w:val="en-GB"/>
        </w:rPr>
      </w:pPr>
    </w:p>
    <w:p w:rsidR="002E35CD" w:rsidRDefault="002E35CD"/>
    <w:sectPr w:rsidR="002E35C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06C3F">
      <w:r>
        <w:separator/>
      </w:r>
    </w:p>
  </w:endnote>
  <w:endnote w:type="continuationSeparator" w:id="0">
    <w:p w:rsidR="00000000" w:rsidRDefault="0070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173" w:rsidRDefault="00706C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173" w:rsidRDefault="00706C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06C3F">
      <w:r>
        <w:separator/>
      </w:r>
    </w:p>
  </w:footnote>
  <w:footnote w:type="continuationSeparator" w:id="0">
    <w:p w:rsidR="00000000" w:rsidRDefault="0070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173" w:rsidRDefault="00706C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173" w:rsidRDefault="00706C3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35CD"/>
    <w:rsid w:val="002E35CD"/>
    <w:rsid w:val="002F789E"/>
    <w:rsid w:val="0070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B30C9C-DC0E-4831-8DE9-B6A46703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paragraph" w:styleId="berschrift1">
    <w:name w:val="heading 1"/>
    <w:basedOn w:val="Standard"/>
    <w:next w:val="Textbody"/>
    <w:uiPriority w:val="9"/>
    <w:qFormat/>
    <w:pPr>
      <w:spacing w:before="100" w:after="10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paragraph" w:styleId="berschrift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rPr>
      <w:bCs/>
      <w:lang w:val="en-GB"/>
    </w:rPr>
  </w:style>
  <w:style w:type="paragraph" w:customStyle="1" w:styleId="author">
    <w:name w:val="author"/>
    <w:basedOn w:val="Standard"/>
    <w:rPr>
      <w:lang w:val="en-GB"/>
    </w:rPr>
  </w:style>
  <w:style w:type="paragraph" w:customStyle="1" w:styleId="imageCopyright">
    <w:name w:val="imageCopyright"/>
    <w:basedOn w:val="Standard"/>
    <w:rPr>
      <w:lang w:val="en-GB"/>
    </w:rPr>
  </w:style>
  <w:style w:type="paragraph" w:customStyle="1" w:styleId="image">
    <w:name w:val="image"/>
    <w:basedOn w:val="Standard"/>
    <w:rPr>
      <w:color w:val="FF0000"/>
      <w:lang w:val="en-GB"/>
    </w:rPr>
  </w:style>
  <w:style w:type="paragraph" w:customStyle="1" w:styleId="locNameEng">
    <w:name w:val="locNameEng"/>
    <w:basedOn w:val="Standard"/>
    <w:rPr>
      <w:lang w:val="en-GB"/>
    </w:rPr>
  </w:style>
  <w:style w:type="paragraph" w:customStyle="1" w:styleId="locNameFusha">
    <w:name w:val="locNameFusha"/>
    <w:basedOn w:val="Standard"/>
    <w:rPr>
      <w:lang w:val="en-GB"/>
    </w:rPr>
  </w:style>
  <w:style w:type="paragraph" w:customStyle="1" w:styleId="locNameFushaAr">
    <w:name w:val="locNameFushaAr"/>
    <w:basedOn w:val="Standard"/>
    <w:pPr>
      <w:spacing w:before="100" w:after="100"/>
      <w:outlineLvl w:val="0"/>
    </w:pPr>
    <w:rPr>
      <w:rFonts w:eastAsia="Times New Roman"/>
      <w:bCs/>
      <w:lang w:eastAsia="de-DE"/>
    </w:rPr>
  </w:style>
  <w:style w:type="paragraph" w:customStyle="1" w:styleId="locNameLoc">
    <w:name w:val="locNameLoc"/>
    <w:basedOn w:val="Standard"/>
    <w:rPr>
      <w:color w:val="FF0000"/>
      <w:lang w:val="en-GB"/>
    </w:rPr>
  </w:style>
  <w:style w:type="paragraph" w:customStyle="1" w:styleId="geo">
    <w:name w:val="geo"/>
    <w:basedOn w:val="Standard"/>
    <w:pPr>
      <w:shd w:val="clear" w:color="auto" w:fill="FFFFFF"/>
    </w:pPr>
    <w:rPr>
      <w:lang w:val="en-GB"/>
    </w:rPr>
  </w:style>
  <w:style w:type="paragraph" w:customStyle="1" w:styleId="typology">
    <w:name w:val="typology"/>
    <w:basedOn w:val="Standard"/>
    <w:pPr>
      <w:shd w:val="clear" w:color="auto" w:fill="FFFFFF"/>
    </w:pPr>
  </w:style>
  <w:style w:type="paragraph" w:customStyle="1" w:styleId="typologyGen">
    <w:name w:val="typologyGen"/>
    <w:basedOn w:val="Standard"/>
    <w:pPr>
      <w:shd w:val="clear" w:color="auto" w:fill="FFFFFF"/>
    </w:pPr>
    <w:rPr>
      <w:lang w:val="en-GB"/>
    </w:rPr>
  </w:style>
  <w:style w:type="paragraph" w:customStyle="1" w:styleId="gen">
    <w:name w:val="gen"/>
    <w:basedOn w:val="Standard"/>
    <w:pPr>
      <w:shd w:val="clear" w:color="auto" w:fill="FFFFFF"/>
    </w:pPr>
    <w:rPr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</w:pPr>
    <w:rPr>
      <w:lang w:val="en-GB"/>
    </w:rPr>
  </w:style>
  <w:style w:type="paragraph" w:customStyle="1" w:styleId="dicts">
    <w:name w:val="dicts"/>
    <w:basedOn w:val="Standard"/>
    <w:pPr>
      <w:shd w:val="clear" w:color="auto" w:fill="FFFFFF"/>
    </w:pPr>
    <w:rPr>
      <w:lang w:val="en-GB"/>
    </w:rPr>
  </w:style>
  <w:style w:type="paragraph" w:customStyle="1" w:styleId="textbooks">
    <w:name w:val="textbooks"/>
    <w:basedOn w:val="Standard"/>
    <w:pPr>
      <w:shd w:val="clear" w:color="auto" w:fill="FFFFFF"/>
    </w:pPr>
    <w:rPr>
      <w:lang w:val="en-GB"/>
    </w:rPr>
  </w:style>
  <w:style w:type="paragraph" w:customStyle="1" w:styleId="audio">
    <w:name w:val="audio"/>
    <w:basedOn w:val="Standard"/>
    <w:pPr>
      <w:shd w:val="clear" w:color="auto" w:fill="FFFFFF"/>
    </w:pPr>
  </w:style>
  <w:style w:type="paragraph" w:customStyle="1" w:styleId="biblio">
    <w:name w:val="biblio"/>
    <w:basedOn w:val="Literaturverzeichnis"/>
    <w:rPr>
      <w:lang w:val="en-GB"/>
    </w:rPr>
  </w:style>
  <w:style w:type="paragraph" w:styleId="Kommentartext">
    <w:name w:val="annotation text"/>
    <w:basedOn w:val="Standard"/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bibl">
    <w:name w:val="bibl"/>
    <w:basedOn w:val="Standard"/>
    <w:pPr>
      <w:spacing w:before="100" w:after="100"/>
    </w:pPr>
    <w:rPr>
      <w:rFonts w:ascii="Times New Roman" w:eastAsia="Times New Roman" w:hAnsi="Times New Roman" w:cs="Times New Roman"/>
    </w:r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  <w:lang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coordinates">
    <w:name w:val="coordinates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plainlinks">
    <w:name w:val="plainlinks"/>
    <w:basedOn w:val="Absatz-Standardschriftart"/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customStyle="1" w:styleId="a">
    <w:name w:val="a"/>
    <w:basedOn w:val="Absatz-Standardschriftart"/>
  </w:style>
  <w:style w:type="character" w:customStyle="1" w:styleId="berschrift3Zchn">
    <w:name w:val="Überschrift 3 Zchn"/>
    <w:basedOn w:val="Absatz-Standardschriftart"/>
    <w:rPr>
      <w:rFonts w:ascii="Calibri Light" w:hAnsi="Calibri Light"/>
      <w:color w:val="1F4D78"/>
      <w:sz w:val="24"/>
      <w:szCs w:val="24"/>
    </w:rPr>
  </w:style>
  <w:style w:type="character" w:customStyle="1" w:styleId="citationitalic">
    <w:name w:val="citationitalic"/>
    <w:basedOn w:val="Absatz-Standardschriftart"/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l.abudhabi.nyu.edu/guma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Kuwait_City&amp;params=29_22_11_N_47_58_42_E_region:KW_type:city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Bettina Leitner</cp:lastModifiedBy>
  <cp:revision>2</cp:revision>
  <dcterms:created xsi:type="dcterms:W3CDTF">2019-02-18T09:12:00Z</dcterms:created>
  <dcterms:modified xsi:type="dcterms:W3CDTF">2019-02-18T09:12:00Z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