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E71598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DB5E23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2960370" cy="2220278"/>
                  <wp:effectExtent l="0" t="0" r="0" b="8890"/>
                  <wp:docPr id="1" name="Grafik 1" descr="GrandePlaceNef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ndePlaceNefz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971" cy="2231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DB5E23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Wikimedia</w:t>
            </w: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DB5E23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Nefza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C31CCB" w:rsidP="00C31CCB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36DB">
              <w:t>Nafza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DB5E23" w:rsidRDefault="00DB5E23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lang w:bidi="ar-EG"/>
              </w:rPr>
            </w:pPr>
            <w:r w:rsidRPr="00DB5E23">
              <w:rPr>
                <w:rFonts w:hint="cs"/>
                <w:b/>
                <w:bCs w:val="0"/>
                <w:rtl/>
                <w:lang w:bidi="ar-EG"/>
              </w:rPr>
              <w:t>نفزة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DB5E23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Nifza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FB1476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36.98, 9.08</w:t>
            </w:r>
          </w:p>
        </w:tc>
      </w:tr>
      <w:tr w:rsidR="00287D6D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287D6D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287D6D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287D6D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>
              <w:t xml:space="preserve"> 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4175CB" w:rsidRPr="001E62F0" w:rsidRDefault="0086681F" w:rsidP="007311D8">
            <w:pPr>
              <w:pStyle w:val="gen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Nefza</w:t>
            </w:r>
            <w:proofErr w:type="spellEnd"/>
            <w:r>
              <w:t xml:space="preserve"> </w:t>
            </w:r>
            <w:r w:rsidR="00C31CCB">
              <w:t xml:space="preserve">(formerly </w:t>
            </w:r>
            <w:proofErr w:type="spellStart"/>
            <w:r w:rsidR="00C31CCB">
              <w:t>Djebel</w:t>
            </w:r>
            <w:proofErr w:type="spellEnd"/>
            <w:r w:rsidR="00C31CCB">
              <w:t xml:space="preserve"> </w:t>
            </w:r>
            <w:proofErr w:type="spellStart"/>
            <w:r w:rsidR="00C31CCB">
              <w:t>Abiod</w:t>
            </w:r>
            <w:proofErr w:type="spellEnd"/>
            <w:r w:rsidR="00C31CCB">
              <w:t xml:space="preserve"> </w:t>
            </w:r>
            <w:r w:rsidR="007311D8">
              <w:t xml:space="preserve">/ </w:t>
            </w:r>
            <w:proofErr w:type="spellStart"/>
            <w:r w:rsidR="00C31CCB">
              <w:t>Ǧabal</w:t>
            </w:r>
            <w:proofErr w:type="spellEnd"/>
            <w:r w:rsidR="00C31CCB">
              <w:t xml:space="preserve"> </w:t>
            </w:r>
            <w:proofErr w:type="spellStart"/>
            <w:r w:rsidR="00C31CCB">
              <w:t>Abya</w:t>
            </w:r>
            <w:r w:rsidR="007311D8">
              <w:t>ḏ</w:t>
            </w:r>
            <w:proofErr w:type="spellEnd"/>
            <w:r w:rsidR="007311D8">
              <w:t>̣</w:t>
            </w:r>
            <w:r w:rsidR="00C31CCB">
              <w:t xml:space="preserve">) </w:t>
            </w:r>
            <w:r>
              <w:t xml:space="preserve">is a small town in </w:t>
            </w:r>
            <w:r w:rsidR="00C31CCB">
              <w:t xml:space="preserve">the </w:t>
            </w:r>
            <w:r>
              <w:t>North</w:t>
            </w:r>
            <w:r w:rsidR="004175CB">
              <w:t xml:space="preserve"> West Tunisia</w:t>
            </w:r>
            <w:r w:rsidR="00C31CCB">
              <w:t xml:space="preserve">n governorate of </w:t>
            </w:r>
            <w:proofErr w:type="spellStart"/>
            <w:r w:rsidR="00C31CCB">
              <w:t>Béja</w:t>
            </w:r>
            <w:proofErr w:type="spellEnd"/>
            <w:r w:rsidR="004175CB">
              <w:t xml:space="preserve">, located in a valley between the </w:t>
            </w:r>
            <w:proofErr w:type="spellStart"/>
            <w:r w:rsidR="004175CB">
              <w:t>Kroumir</w:t>
            </w:r>
            <w:proofErr w:type="spellEnd"/>
            <w:r w:rsidR="004175CB">
              <w:t xml:space="preserve"> and the </w:t>
            </w:r>
            <w:proofErr w:type="spellStart"/>
            <w:r w:rsidR="004175CB">
              <w:t>Mogod</w:t>
            </w:r>
            <w:proofErr w:type="spellEnd"/>
            <w:r>
              <w:t xml:space="preserve"> mountains</w:t>
            </w:r>
            <w:r w:rsidR="004175CB">
              <w:t xml:space="preserve">. </w:t>
            </w:r>
            <w:r w:rsidR="004175CB" w:rsidRPr="007311D8">
              <w:t xml:space="preserve">The </w:t>
            </w:r>
            <w:proofErr w:type="spellStart"/>
            <w:r w:rsidR="004175CB" w:rsidRPr="007311D8">
              <w:t>Sidi</w:t>
            </w:r>
            <w:proofErr w:type="spellEnd"/>
            <w:r w:rsidR="004175CB" w:rsidRPr="007311D8">
              <w:t xml:space="preserve"> el </w:t>
            </w:r>
            <w:proofErr w:type="spellStart"/>
            <w:r w:rsidR="004175CB" w:rsidRPr="007311D8">
              <w:t>Barrak</w:t>
            </w:r>
            <w:proofErr w:type="spellEnd"/>
            <w:r w:rsidR="004175CB" w:rsidRPr="007311D8">
              <w:t xml:space="preserve"> (</w:t>
            </w:r>
            <w:proofErr w:type="spellStart"/>
            <w:r w:rsidR="004175CB" w:rsidRPr="007311D8">
              <w:t>Sīdi</w:t>
            </w:r>
            <w:proofErr w:type="spellEnd"/>
            <w:r w:rsidR="004175CB" w:rsidRPr="007311D8">
              <w:t xml:space="preserve"> l-</w:t>
            </w:r>
            <w:proofErr w:type="spellStart"/>
            <w:r w:rsidR="004175CB" w:rsidRPr="007311D8">
              <w:rPr>
                <w:color w:val="auto"/>
              </w:rPr>
              <w:t>Baṛṛā</w:t>
            </w:r>
            <w:r w:rsidR="007311D8" w:rsidRPr="007311D8">
              <w:rPr>
                <w:color w:val="auto"/>
              </w:rPr>
              <w:t>g</w:t>
            </w:r>
            <w:proofErr w:type="spellEnd"/>
            <w:r w:rsidR="004175CB" w:rsidRPr="007311D8">
              <w:rPr>
                <w:color w:val="auto"/>
              </w:rPr>
              <w:t>)</w:t>
            </w:r>
            <w:r w:rsidR="004175CB" w:rsidRPr="004175CB">
              <w:t xml:space="preserve"> Dam</w:t>
            </w:r>
            <w:bookmarkStart w:id="0" w:name="_GoBack"/>
            <w:bookmarkEnd w:id="0"/>
            <w:r w:rsidR="004175CB">
              <w:t xml:space="preserve"> which is situated next to </w:t>
            </w:r>
            <w:proofErr w:type="spellStart"/>
            <w:r w:rsidR="004175CB">
              <w:t>Nefza</w:t>
            </w:r>
            <w:proofErr w:type="spellEnd"/>
            <w:r w:rsidR="004175CB">
              <w:t xml:space="preserve"> supplies water </w:t>
            </w:r>
            <w:r w:rsidR="006F0141">
              <w:t xml:space="preserve">for </w:t>
            </w:r>
            <w:r w:rsidR="004175CB">
              <w:t>different parts of the country.</w:t>
            </w:r>
            <w:r w:rsidR="00870C84">
              <w:t xml:space="preserve"> Beside its</w:t>
            </w:r>
            <w:r w:rsidR="004175CB">
              <w:t xml:space="preserve"> breath-taking </w:t>
            </w:r>
            <w:proofErr w:type="spellStart"/>
            <w:r w:rsidR="00F161AE">
              <w:t>arboreous</w:t>
            </w:r>
            <w:proofErr w:type="spellEnd"/>
            <w:r w:rsidR="00F161AE">
              <w:t xml:space="preserve"> </w:t>
            </w:r>
            <w:r w:rsidR="004175CB">
              <w:t xml:space="preserve">nature, the </w:t>
            </w:r>
            <w:proofErr w:type="spellStart"/>
            <w:r w:rsidR="004175CB">
              <w:t>Nefza</w:t>
            </w:r>
            <w:proofErr w:type="spellEnd"/>
            <w:r w:rsidR="004175CB">
              <w:t xml:space="preserve"> region is famous for</w:t>
            </w:r>
            <w:r w:rsidR="004175CB">
              <w:rPr>
                <w:rFonts w:hint="cs"/>
                <w:rtl/>
              </w:rPr>
              <w:t xml:space="preserve"> </w:t>
            </w:r>
            <w:proofErr w:type="spellStart"/>
            <w:r w:rsidR="00756936">
              <w:rPr>
                <w:lang w:val="de-DE"/>
              </w:rPr>
              <w:t>the</w:t>
            </w:r>
            <w:proofErr w:type="spellEnd"/>
            <w:r w:rsidR="00756936">
              <w:rPr>
                <w:lang w:val="de-DE"/>
              </w:rPr>
              <w:t xml:space="preserve"> </w:t>
            </w:r>
            <w:proofErr w:type="spellStart"/>
            <w:r w:rsidR="00756936">
              <w:rPr>
                <w:lang w:val="de-DE"/>
              </w:rPr>
              <w:t>kaki</w:t>
            </w:r>
            <w:proofErr w:type="spellEnd"/>
            <w:r w:rsidR="00756936">
              <w:rPr>
                <w:lang w:val="de-DE"/>
              </w:rPr>
              <w:t xml:space="preserve"> </w:t>
            </w:r>
            <w:proofErr w:type="spellStart"/>
            <w:r w:rsidR="004175CB">
              <w:rPr>
                <w:lang w:val="de-DE"/>
              </w:rPr>
              <w:t>fruit</w:t>
            </w:r>
            <w:proofErr w:type="spellEnd"/>
            <w:r w:rsidR="004175CB">
              <w:rPr>
                <w:lang w:val="de-DE"/>
              </w:rPr>
              <w:t xml:space="preserve"> </w:t>
            </w:r>
            <w:proofErr w:type="spellStart"/>
            <w:r w:rsidR="004175CB">
              <w:rPr>
                <w:lang w:val="de-DE"/>
              </w:rPr>
              <w:t>called</w:t>
            </w:r>
            <w:proofErr w:type="spellEnd"/>
            <w:r>
              <w:t xml:space="preserve"> </w:t>
            </w:r>
            <w:proofErr w:type="spellStart"/>
            <w:r w:rsidRPr="004175CB">
              <w:rPr>
                <w:i/>
                <w:iCs/>
              </w:rPr>
              <w:t>krīma</w:t>
            </w:r>
            <w:proofErr w:type="spellEnd"/>
            <w:r w:rsidR="004175CB">
              <w:t>, which is the town</w:t>
            </w:r>
            <w:r w:rsidR="00756936">
              <w:t>’s</w:t>
            </w:r>
            <w:r w:rsidR="004175CB">
              <w:t xml:space="preserve"> symbol as well.</w:t>
            </w:r>
          </w:p>
        </w:tc>
      </w:tr>
      <w:tr w:rsidR="007D6078" w:rsidRPr="00B068E8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87D6D" w:rsidP="00061BF8">
            <w:pPr>
              <w:pStyle w:val="researchHistory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F6B">
              <w:t xml:space="preserve">To the best of our knowledge hitherto no research </w:t>
            </w:r>
            <w:proofErr w:type="gramStart"/>
            <w:r w:rsidRPr="00230F6B">
              <w:t>has been done</w:t>
            </w:r>
            <w:proofErr w:type="gramEnd"/>
            <w:r w:rsidRPr="00230F6B">
              <w:t xml:space="preserve"> on the dialect of </w:t>
            </w:r>
            <w:proofErr w:type="spellStart"/>
            <w:r w:rsidR="0086681F" w:rsidRPr="00230F6B">
              <w:t>Nefza</w:t>
            </w:r>
            <w:proofErr w:type="spellEnd"/>
            <w:r w:rsidRPr="00230F6B">
              <w:t>, however this dialect</w:t>
            </w:r>
            <w:r w:rsidR="002418E2" w:rsidRPr="00230F6B">
              <w:t xml:space="preserve"> a</w:t>
            </w:r>
            <w:r w:rsidR="004175CB">
              <w:t>s well as</w:t>
            </w:r>
            <w:r w:rsidR="002418E2" w:rsidRPr="00230F6B">
              <w:t xml:space="preserve"> the dialects of the surrounding </w:t>
            </w:r>
            <w:r w:rsidR="00061BF8">
              <w:t>villages</w:t>
            </w:r>
            <w:r w:rsidR="00061BF8" w:rsidRPr="00230F6B">
              <w:t xml:space="preserve"> </w:t>
            </w:r>
            <w:r w:rsidR="00230F6B" w:rsidRPr="00230F6B">
              <w:t>like e.</w:t>
            </w:r>
            <w:r w:rsidR="00230F6B">
              <w:t>g. Umm l-</w:t>
            </w:r>
            <w:proofErr w:type="spellStart"/>
            <w:r w:rsidR="00230F6B">
              <w:t>ʕBīd</w:t>
            </w:r>
            <w:proofErr w:type="spellEnd"/>
            <w:r w:rsidR="00230F6B">
              <w:t xml:space="preserve">, </w:t>
            </w:r>
            <w:proofErr w:type="spellStart"/>
            <w:r w:rsidR="00230F6B">
              <w:t>Ḥbǟba</w:t>
            </w:r>
            <w:proofErr w:type="spellEnd"/>
            <w:r w:rsidR="00230F6B">
              <w:t xml:space="preserve"> and </w:t>
            </w:r>
            <w:proofErr w:type="spellStart"/>
            <w:r w:rsidR="00230F6B">
              <w:t>Ṭwīla</w:t>
            </w:r>
            <w:proofErr w:type="spellEnd"/>
            <w:r w:rsidR="002418E2" w:rsidRPr="00230F6B">
              <w:t xml:space="preserve"> are</w:t>
            </w:r>
            <w:r w:rsidRPr="00230F6B">
              <w:t xml:space="preserve"> </w:t>
            </w:r>
            <w:r w:rsidR="00061BF8">
              <w:t>linguistically investigated</w:t>
            </w:r>
            <w:r w:rsidRPr="00230F6B">
              <w:t xml:space="preserve"> within the TUNOCENT project.</w:t>
            </w:r>
          </w:p>
        </w:tc>
      </w:tr>
      <w:tr w:rsidR="007D6078" w:rsidRPr="00230F6B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230F6B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230F6B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230F6B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230F6B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E5" w:rsidRDefault="00C525E5" w:rsidP="00C23E48">
      <w:pPr>
        <w:spacing w:after="0" w:line="240" w:lineRule="auto"/>
      </w:pPr>
      <w:r>
        <w:separator/>
      </w:r>
    </w:p>
  </w:endnote>
  <w:endnote w:type="continuationSeparator" w:id="0">
    <w:p w:rsidR="00C525E5" w:rsidRDefault="00C525E5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E5" w:rsidRDefault="00C525E5" w:rsidP="00C23E48">
      <w:pPr>
        <w:spacing w:after="0" w:line="240" w:lineRule="auto"/>
      </w:pPr>
      <w:r>
        <w:separator/>
      </w:r>
    </w:p>
  </w:footnote>
  <w:footnote w:type="continuationSeparator" w:id="0">
    <w:p w:rsidR="00C525E5" w:rsidRDefault="00C525E5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61BF8"/>
    <w:rsid w:val="000E6F2D"/>
    <w:rsid w:val="00143966"/>
    <w:rsid w:val="00143B4A"/>
    <w:rsid w:val="001B3C3B"/>
    <w:rsid w:val="001B588D"/>
    <w:rsid w:val="001E62F0"/>
    <w:rsid w:val="001F0D80"/>
    <w:rsid w:val="00230F6B"/>
    <w:rsid w:val="002418E2"/>
    <w:rsid w:val="00260386"/>
    <w:rsid w:val="00287D6D"/>
    <w:rsid w:val="002C115A"/>
    <w:rsid w:val="002D09A6"/>
    <w:rsid w:val="002D6DC0"/>
    <w:rsid w:val="003328F2"/>
    <w:rsid w:val="00347FFB"/>
    <w:rsid w:val="003541CC"/>
    <w:rsid w:val="00361911"/>
    <w:rsid w:val="003903B4"/>
    <w:rsid w:val="003E1BEC"/>
    <w:rsid w:val="004175CB"/>
    <w:rsid w:val="004A4F96"/>
    <w:rsid w:val="005102F8"/>
    <w:rsid w:val="0056347D"/>
    <w:rsid w:val="005C0928"/>
    <w:rsid w:val="006974FF"/>
    <w:rsid w:val="006B26BF"/>
    <w:rsid w:val="006C2AC4"/>
    <w:rsid w:val="006F0141"/>
    <w:rsid w:val="007311D8"/>
    <w:rsid w:val="00756936"/>
    <w:rsid w:val="0077192B"/>
    <w:rsid w:val="007D6078"/>
    <w:rsid w:val="007F0520"/>
    <w:rsid w:val="00815D0F"/>
    <w:rsid w:val="00844D11"/>
    <w:rsid w:val="0086681F"/>
    <w:rsid w:val="00870C84"/>
    <w:rsid w:val="0089368B"/>
    <w:rsid w:val="00AC797A"/>
    <w:rsid w:val="00B068E8"/>
    <w:rsid w:val="00B2016B"/>
    <w:rsid w:val="00B71E16"/>
    <w:rsid w:val="00B94A9C"/>
    <w:rsid w:val="00BA2B20"/>
    <w:rsid w:val="00BA7248"/>
    <w:rsid w:val="00C03AEB"/>
    <w:rsid w:val="00C23E48"/>
    <w:rsid w:val="00C31CCB"/>
    <w:rsid w:val="00C525E5"/>
    <w:rsid w:val="00C777EF"/>
    <w:rsid w:val="00CA7641"/>
    <w:rsid w:val="00CD36DB"/>
    <w:rsid w:val="00D6060C"/>
    <w:rsid w:val="00DB5E23"/>
    <w:rsid w:val="00DF1714"/>
    <w:rsid w:val="00E2217E"/>
    <w:rsid w:val="00E532AA"/>
    <w:rsid w:val="00E71598"/>
    <w:rsid w:val="00E957A5"/>
    <w:rsid w:val="00ED5BBB"/>
    <w:rsid w:val="00F06A97"/>
    <w:rsid w:val="00F161AE"/>
    <w:rsid w:val="00F62ABC"/>
    <w:rsid w:val="00F80204"/>
    <w:rsid w:val="00FB1476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4FA7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1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1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2019-10-24T11:20:00Z</dcterms:modified>
</cp:coreProperties>
</file>