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A0" w:rsidRDefault="008520A0">
      <w:pPr>
        <w:rPr>
          <w:sz w:val="28"/>
          <w:szCs w:val="28"/>
          <w:lang w:val="en-GB"/>
        </w:rPr>
      </w:pPr>
    </w:p>
    <w:p w:rsidR="008520A0" w:rsidRDefault="00A5171B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8520A0" w:rsidRDefault="008520A0">
      <w:pPr>
        <w:rPr>
          <w:sz w:val="28"/>
          <w:szCs w:val="28"/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7"/>
        <w:gridCol w:w="7225"/>
      </w:tblGrid>
      <w:tr w:rsidR="008520A0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ID</w:t>
            </w:r>
          </w:p>
        </w:tc>
        <w:tc>
          <w:tcPr>
            <w:tcW w:w="722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pStyle w:val="xmlID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profile_{location}_01</w:t>
            </w:r>
          </w:p>
        </w:tc>
      </w:tr>
      <w:tr w:rsidR="008520A0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Author of this profile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pStyle w:val="autho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Aleksandra </w:t>
            </w:r>
            <w:proofErr w:type="spellStart"/>
            <w:r>
              <w:rPr>
                <w:sz w:val="28"/>
                <w:szCs w:val="28"/>
              </w:rPr>
              <w:t>Ercegovčević</w:t>
            </w:r>
            <w:proofErr w:type="spellEnd"/>
          </w:p>
        </w:tc>
      </w:tr>
      <w:tr w:rsidR="008520A0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Image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pStyle w:val="image"/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1663567" cy="2218700"/>
                  <wp:effectExtent l="0" t="0" r="0" b="0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567" cy="22187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0A0" w:rsidRPr="007F266A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Copyright of image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0E6925">
            <w:pPr>
              <w:pStyle w:val="imageCopyright"/>
            </w:pPr>
            <w:hyperlink r:id="rId8" w:history="1">
              <w:r w:rsidR="00A5171B">
                <w:rPr>
                  <w:sz w:val="28"/>
                  <w:szCs w:val="28"/>
                </w:rPr>
                <w:t>http://trip-suggest.com/algeria/saida/balloul/</w:t>
              </w:r>
            </w:hyperlink>
          </w:p>
        </w:tc>
      </w:tr>
      <w:tr w:rsidR="008520A0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(English)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Pr="00A5171B" w:rsidRDefault="00A5171B" w:rsidP="000E6925">
            <w:pPr>
              <w:pStyle w:val="locNameEng"/>
              <w:rPr>
                <w:lang w:val="de-AT"/>
              </w:rPr>
            </w:pPr>
            <w:proofErr w:type="spellStart"/>
            <w:r>
              <w:rPr>
                <w:sz w:val="28"/>
                <w:szCs w:val="28"/>
                <w:lang w:val="de-AT"/>
              </w:rPr>
              <w:t>Ouled</w:t>
            </w:r>
            <w:proofErr w:type="spellEnd"/>
            <w:r>
              <w:rPr>
                <w:sz w:val="28"/>
                <w:szCs w:val="28"/>
                <w:lang w:val="de-AT"/>
              </w:rPr>
              <w:t xml:space="preserve"> Brahim (</w:t>
            </w:r>
            <w:proofErr w:type="spellStart"/>
            <w:r>
              <w:rPr>
                <w:sz w:val="28"/>
                <w:szCs w:val="28"/>
                <w:lang w:val="de-AT"/>
              </w:rPr>
              <w:t>Saïda</w:t>
            </w:r>
            <w:proofErr w:type="spellEnd"/>
            <w:r>
              <w:rPr>
                <w:sz w:val="28"/>
                <w:szCs w:val="28"/>
                <w:lang w:val="de-AT"/>
              </w:rPr>
              <w:t xml:space="preserve">) </w:t>
            </w:r>
            <w:bookmarkStart w:id="0" w:name="_GoBack"/>
            <w:bookmarkEnd w:id="0"/>
          </w:p>
        </w:tc>
      </w:tr>
      <w:tr w:rsidR="008520A0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8"/>
                <w:szCs w:val="28"/>
                <w:lang w:val="en-GB"/>
              </w:rPr>
              <w:t>Fuṣḥā</w:t>
            </w:r>
            <w:proofErr w:type="spellEnd"/>
            <w:r>
              <w:rPr>
                <w:color w:val="0070C0"/>
                <w:sz w:val="28"/>
                <w:szCs w:val="28"/>
                <w:lang w:val="en-GB"/>
              </w:rPr>
              <w:t>, transcription)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pStyle w:val="locNameFusha"/>
            </w:pPr>
            <w:proofErr w:type="spellStart"/>
            <w:r>
              <w:rPr>
                <w:sz w:val="28"/>
                <w:szCs w:val="28"/>
              </w:rPr>
              <w:t>Aw</w:t>
            </w:r>
            <w:r>
              <w:rPr>
                <w:color w:val="000000"/>
                <w:sz w:val="28"/>
                <w:szCs w:val="28"/>
              </w:rPr>
              <w:t>lād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Brāhīm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000000"/>
                <w:sz w:val="28"/>
                <w:szCs w:val="28"/>
              </w:rPr>
              <w:t>Saʕīda</w:t>
            </w:r>
            <w:proofErr w:type="spellEnd"/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8520A0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8"/>
                <w:szCs w:val="28"/>
                <w:lang w:val="en-GB"/>
              </w:rPr>
              <w:t>Fuṣḥā</w:t>
            </w:r>
            <w:proofErr w:type="spellEnd"/>
            <w:r>
              <w:rPr>
                <w:color w:val="0070C0"/>
                <w:sz w:val="28"/>
                <w:szCs w:val="28"/>
                <w:lang w:val="en-GB"/>
              </w:rPr>
              <w:t>, Arabic)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 w:rsidP="00A5171B">
            <w:pPr>
              <w:pStyle w:val="locNameFushaAr"/>
              <w:bidi/>
              <w:spacing w:after="0"/>
              <w:jc w:val="right"/>
            </w:pPr>
            <w:r>
              <w:rPr>
                <w:rFonts w:ascii="Arial" w:hAnsi="Arial" w:cs="Arial"/>
                <w:b/>
                <w:bCs w:val="0"/>
                <w:color w:val="000000"/>
                <w:sz w:val="36"/>
                <w:szCs w:val="36"/>
                <w:rtl/>
              </w:rPr>
              <w:t>أولاد براهيم (سعيدة</w:t>
            </w:r>
            <w:r>
              <w:rPr>
                <w:rFonts w:ascii="Arial" w:hAnsi="Arial" w:cs="Arial"/>
                <w:color w:val="000000"/>
                <w:sz w:val="36"/>
                <w:szCs w:val="36"/>
              </w:rPr>
              <w:t>(</w:t>
            </w:r>
          </w:p>
        </w:tc>
      </w:tr>
      <w:tr w:rsidR="008520A0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in local variety (in transcription)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pStyle w:val="locNameLoc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Ūlād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Brāhīm</w:t>
            </w:r>
            <w:proofErr w:type="spellEnd"/>
          </w:p>
        </w:tc>
      </w:tr>
      <w:tr w:rsidR="008520A0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Geo location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pStyle w:val="ge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34.99, 0.47</w:t>
            </w:r>
          </w:p>
        </w:tc>
      </w:tr>
      <w:tr w:rsidR="008520A0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Typology (Local)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pStyle w:val="typolog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West (Maghreb) › Algeria</w:t>
            </w:r>
          </w:p>
        </w:tc>
      </w:tr>
      <w:tr w:rsidR="008520A0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Typology (General)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pStyle w:val="typologyGen"/>
            </w:pPr>
            <w:proofErr w:type="spellStart"/>
            <w:r>
              <w:rPr>
                <w:sz w:val="28"/>
                <w:szCs w:val="28"/>
                <w:shd w:val="clear" w:color="auto" w:fill="FFFFFF"/>
              </w:rPr>
              <w:t>Hi</w:t>
            </w:r>
            <w:r>
              <w:rPr>
                <w:sz w:val="28"/>
                <w:szCs w:val="28"/>
              </w:rPr>
              <w:t>lālī</w:t>
            </w:r>
            <w:proofErr w:type="spellEnd"/>
            <w:r>
              <w:rPr>
                <w:sz w:val="28"/>
                <w:szCs w:val="28"/>
              </w:rPr>
              <w:t xml:space="preserve">-type </w:t>
            </w:r>
            <w:r>
              <w:rPr>
                <w:sz w:val="28"/>
                <w:szCs w:val="28"/>
                <w:shd w:val="clear" w:color="auto" w:fill="FFFFFF"/>
              </w:rPr>
              <w:t>Bedouin dialect</w:t>
            </w:r>
          </w:p>
        </w:tc>
      </w:tr>
      <w:tr w:rsidR="008520A0" w:rsidRPr="007F266A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lastRenderedPageBreak/>
              <w:t>General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pStyle w:val="gen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Ouled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Brahim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Saïda</w:t>
            </w:r>
            <w:proofErr w:type="spellEnd"/>
            <w:r>
              <w:rPr>
                <w:sz w:val="28"/>
                <w:szCs w:val="28"/>
              </w:rPr>
              <w:t xml:space="preserve">) is a community of around 19,000 in the </w:t>
            </w:r>
            <w:proofErr w:type="spellStart"/>
            <w:r>
              <w:rPr>
                <w:sz w:val="28"/>
                <w:szCs w:val="28"/>
              </w:rPr>
              <w:t>Saïda</w:t>
            </w:r>
            <w:proofErr w:type="spellEnd"/>
            <w:r>
              <w:rPr>
                <w:sz w:val="28"/>
                <w:szCs w:val="28"/>
              </w:rPr>
              <w:t xml:space="preserve"> province of the Department of Oran. The </w:t>
            </w:r>
            <w:proofErr w:type="spellStart"/>
            <w:r>
              <w:rPr>
                <w:sz w:val="28"/>
                <w:szCs w:val="28"/>
              </w:rPr>
              <w:t>Ouled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Brahim</w:t>
            </w:r>
            <w:proofErr w:type="spellEnd"/>
            <w:r>
              <w:rPr>
                <w:sz w:val="28"/>
                <w:szCs w:val="28"/>
              </w:rPr>
              <w:t xml:space="preserve"> are not much different from other former Bedouins of Western Algeria: they are both farmers and shepherds. Their dialect is also very similar to other rural dialects of the region.</w:t>
            </w:r>
          </w:p>
        </w:tc>
      </w:tr>
      <w:tr w:rsidR="008520A0" w:rsidRPr="007F266A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Research history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pStyle w:val="researchHisto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only study on the dialect of the </w:t>
            </w:r>
            <w:proofErr w:type="spellStart"/>
            <w:r>
              <w:rPr>
                <w:sz w:val="28"/>
                <w:szCs w:val="28"/>
              </w:rPr>
              <w:t>Ouled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Brahim</w:t>
            </w:r>
            <w:proofErr w:type="spellEnd"/>
            <w:r>
              <w:rPr>
                <w:sz w:val="28"/>
                <w:szCs w:val="28"/>
              </w:rPr>
              <w:t xml:space="preserve"> is still W. </w:t>
            </w:r>
            <w:proofErr w:type="spellStart"/>
            <w:r>
              <w:rPr>
                <w:sz w:val="28"/>
                <w:szCs w:val="28"/>
              </w:rPr>
              <w:t>Marçais</w:t>
            </w:r>
            <w:proofErr w:type="spellEnd"/>
            <w:r>
              <w:rPr>
                <w:sz w:val="28"/>
                <w:szCs w:val="28"/>
              </w:rPr>
              <w:t xml:space="preserve"> 1908, which </w:t>
            </w:r>
            <w:proofErr w:type="gramStart"/>
            <w:r>
              <w:rPr>
                <w:sz w:val="28"/>
                <w:szCs w:val="28"/>
              </w:rPr>
              <w:t>was published</w:t>
            </w:r>
            <w:proofErr w:type="gramEnd"/>
            <w:r>
              <w:rPr>
                <w:sz w:val="28"/>
                <w:szCs w:val="28"/>
              </w:rPr>
              <w:t xml:space="preserve"> in two parts. It includes chapters on the phonology and morphology of the dialect, occasionally making comparisons with other Algerian dialects.</w:t>
            </w:r>
          </w:p>
        </w:tc>
      </w:tr>
      <w:tr w:rsidR="008520A0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Dictionaries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8520A0">
            <w:pPr>
              <w:pStyle w:val="dicts"/>
              <w:rPr>
                <w:sz w:val="28"/>
                <w:szCs w:val="28"/>
              </w:rPr>
            </w:pPr>
          </w:p>
        </w:tc>
      </w:tr>
      <w:tr w:rsidR="008520A0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Text books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8520A0">
            <w:pPr>
              <w:pStyle w:val="textbooks"/>
              <w:rPr>
                <w:sz w:val="28"/>
                <w:szCs w:val="28"/>
                <w:shd w:val="clear" w:color="auto" w:fill="FFFFFF"/>
              </w:rPr>
            </w:pPr>
          </w:p>
        </w:tc>
      </w:tr>
      <w:tr w:rsidR="008520A0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Audio data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8520A0">
            <w:pPr>
              <w:pStyle w:val="audio"/>
              <w:rPr>
                <w:sz w:val="28"/>
                <w:szCs w:val="28"/>
                <w:shd w:val="clear" w:color="auto" w:fill="FFFFFF"/>
                <w:lang w:val="en-GB"/>
              </w:rPr>
            </w:pPr>
          </w:p>
        </w:tc>
      </w:tr>
      <w:tr w:rsidR="008520A0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Bibliography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  <w:tr w:rsidR="008520A0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Sample text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  <w:tr w:rsidR="008520A0">
        <w:tc>
          <w:tcPr>
            <w:tcW w:w="1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Linguistic features</w:t>
            </w:r>
          </w:p>
        </w:tc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0A0" w:rsidRDefault="00A5171B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</w:tbl>
    <w:p w:rsidR="008520A0" w:rsidRDefault="008520A0">
      <w:pPr>
        <w:spacing w:line="360" w:lineRule="auto"/>
        <w:rPr>
          <w:sz w:val="28"/>
          <w:szCs w:val="28"/>
          <w:lang w:val="en-GB"/>
        </w:rPr>
      </w:pPr>
    </w:p>
    <w:p w:rsidR="008520A0" w:rsidRDefault="008520A0">
      <w:pPr>
        <w:spacing w:line="360" w:lineRule="auto"/>
        <w:jc w:val="both"/>
      </w:pPr>
    </w:p>
    <w:sectPr w:rsidR="008520A0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0B0" w:rsidRDefault="00A5171B">
      <w:pPr>
        <w:spacing w:after="0" w:line="240" w:lineRule="auto"/>
      </w:pPr>
      <w:r>
        <w:separator/>
      </w:r>
    </w:p>
  </w:endnote>
  <w:endnote w:type="continuationSeparator" w:id="0">
    <w:p w:rsidR="005720B0" w:rsidRDefault="00A51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9AC" w:rsidRDefault="000E692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9AC" w:rsidRDefault="000E692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0B0" w:rsidRDefault="00A5171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720B0" w:rsidRDefault="00A51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9AC" w:rsidRDefault="000E69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9AC" w:rsidRDefault="000E692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2477"/>
    <w:multiLevelType w:val="multilevel"/>
    <w:tmpl w:val="39AA8AA2"/>
    <w:styleLink w:val="WWNum1"/>
    <w:lvl w:ilvl="0">
      <w:numFmt w:val="bullet"/>
      <w:lvlText w:val="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A0"/>
    <w:rsid w:val="000E6925"/>
    <w:rsid w:val="001F7BE7"/>
    <w:rsid w:val="005720B0"/>
    <w:rsid w:val="007F266A"/>
    <w:rsid w:val="008520A0"/>
    <w:rsid w:val="00A5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19DA"/>
  <w15:docId w15:val="{C574C466-5146-4D62-A46F-963C5D32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ip-suggest.com/algeria/saida/ballou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Aleksandra Ercegovcevic</dc:creator>
  <cp:lastModifiedBy>Aleksandra Ercegovcevic</cp:lastModifiedBy>
  <cp:revision>5</cp:revision>
  <dcterms:created xsi:type="dcterms:W3CDTF">2018-11-20T11:50:00Z</dcterms:created>
  <dcterms:modified xsi:type="dcterms:W3CDTF">2019-01-03T11:08:00Z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