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C0" w:rsidRDefault="007937C0">
      <w:pPr>
        <w:rPr>
          <w:rFonts w:hint="cs"/>
          <w:rtl/>
          <w:lang w:val="en-GB" w:bidi="ar-IQ"/>
        </w:rPr>
      </w:pPr>
    </w:p>
    <w:p w:rsidR="007937C0" w:rsidRDefault="00F951B8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937C0" w:rsidRDefault="007937C0">
      <w:pPr>
        <w:rPr>
          <w:lang w:val="en-GB"/>
        </w:rPr>
      </w:pP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5"/>
        <w:gridCol w:w="7223"/>
      </w:tblGrid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Pr="00F951B8" w:rsidRDefault="00F951B8">
            <w:pPr>
              <w:pStyle w:val="xmlID"/>
              <w:rPr>
                <w:color w:val="auto"/>
                <w:sz w:val="32"/>
                <w:szCs w:val="32"/>
                <w:shd w:val="clear" w:color="auto" w:fill="00FF00"/>
                <w:lang w:val="de-DE"/>
              </w:rPr>
            </w:pPr>
            <w:proofErr w:type="spellStart"/>
            <w:r w:rsidRPr="00F951B8">
              <w:rPr>
                <w:color w:val="auto"/>
                <w:sz w:val="32"/>
                <w:szCs w:val="32"/>
                <w:shd w:val="clear" w:color="auto" w:fill="00FF00"/>
                <w:lang w:val="de-DE"/>
              </w:rPr>
              <w:t>profile</w:t>
            </w:r>
            <w:proofErr w:type="spellEnd"/>
            <w:r w:rsidRPr="00F951B8">
              <w:rPr>
                <w:color w:val="auto"/>
                <w:sz w:val="32"/>
                <w:szCs w:val="32"/>
                <w:shd w:val="clear" w:color="auto" w:fill="00FF00"/>
                <w:lang w:val="de-DE"/>
              </w:rPr>
              <w:t>_{</w:t>
            </w:r>
            <w:proofErr w:type="spellStart"/>
            <w:r w:rsidRPr="00F951B8">
              <w:rPr>
                <w:color w:val="auto"/>
                <w:sz w:val="32"/>
                <w:szCs w:val="32"/>
                <w:shd w:val="clear" w:color="auto" w:fill="00FF00"/>
                <w:lang w:val="de-DE"/>
              </w:rPr>
              <w:t>tribe</w:t>
            </w:r>
            <w:proofErr w:type="spellEnd"/>
            <w:r w:rsidRPr="00F951B8">
              <w:rPr>
                <w:color w:val="auto"/>
                <w:sz w:val="32"/>
                <w:szCs w:val="32"/>
                <w:shd w:val="clear" w:color="auto" w:fill="00FF00"/>
                <w:lang w:val="de-DE"/>
              </w:rPr>
              <w:t>}_01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pStyle w:val="autho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Bettina Leitner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CE7AA3">
            <w:pPr>
              <w:pStyle w:val="image"/>
              <w:rPr>
                <w:color w:val="000000"/>
                <w:sz w:val="32"/>
                <w:szCs w:val="32"/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676400" cy="2169932"/>
                  <wp:effectExtent l="0" t="0" r="0" b="1905"/>
                  <wp:docPr id="1" name="Grafik 1" descr="-Shukriya nomad at the Jebel el Ugheilif well (site no. 80). Â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-Shukriya nomad at the Jebel el Ugheilif well (site no. 80). Â 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1" t="9418" r="3333" b="4973"/>
                          <a:stretch/>
                        </pic:blipFill>
                        <pic:spPr bwMode="auto">
                          <a:xfrm>
                            <a:off x="0" y="0"/>
                            <a:ext cx="1681036" cy="217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7C0" w:rsidRPr="00CE7AA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Pr="00CE7AA3" w:rsidRDefault="00CE7AA3">
            <w:pPr>
              <w:pStyle w:val="imageCopyright"/>
              <w:rPr>
                <w:sz w:val="32"/>
                <w:szCs w:val="32"/>
              </w:rPr>
            </w:pPr>
            <w:r w:rsidRPr="00CE7AA3">
              <w:rPr>
                <w:sz w:val="32"/>
                <w:szCs w:val="32"/>
              </w:rPr>
              <w:t>https://www.researchgate.net/figure/Shukriya-nomad-at-the-Jebel-el-Ugheilif-well-site-no-80_fig12_39287210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 xml:space="preserve">Name of </w:t>
            </w:r>
            <w:r>
              <w:rPr>
                <w:b/>
                <w:bCs/>
                <w:color w:val="FF0000"/>
                <w:sz w:val="32"/>
                <w:szCs w:val="32"/>
                <w:lang w:val="en-GB"/>
              </w:rPr>
              <w:t>tribe</w:t>
            </w: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 xml:space="preserve"> (English)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outlineLvl w:val="0"/>
              <w:rPr>
                <w:rFonts w:eastAsia="Times New Roman"/>
                <w:sz w:val="32"/>
                <w:szCs w:val="32"/>
                <w:lang w:eastAsia="de-AT"/>
              </w:rPr>
            </w:pPr>
            <w:r>
              <w:rPr>
                <w:rFonts w:eastAsia="Times New Roman"/>
                <w:sz w:val="32"/>
                <w:szCs w:val="32"/>
                <w:lang w:eastAsia="de-AT"/>
              </w:rPr>
              <w:t>Shukriyya</w:t>
            </w:r>
            <w:bookmarkStart w:id="0" w:name="_GoBack"/>
            <w:bookmarkEnd w:id="0"/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 xml:space="preserve">Name of </w:t>
            </w:r>
            <w:r>
              <w:rPr>
                <w:b/>
                <w:bCs/>
                <w:color w:val="FF0000"/>
                <w:sz w:val="32"/>
                <w:szCs w:val="32"/>
                <w:lang w:val="en-GB"/>
              </w:rPr>
              <w:t>tribe</w:t>
            </w:r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 xml:space="preserve"> (</w:t>
            </w:r>
            <w:proofErr w:type="spellStart"/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b/>
                <w:bCs/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pStyle w:val="locNameFusha"/>
            </w:pPr>
            <w:proofErr w:type="spellStart"/>
            <w:r>
              <w:rPr>
                <w:sz w:val="32"/>
                <w:szCs w:val="32"/>
                <w:lang w:val="de-AT" w:bidi="ar-IQ"/>
              </w:rPr>
              <w:t>aš</w:t>
            </w:r>
            <w:proofErr w:type="spellEnd"/>
            <w:r>
              <w:rPr>
                <w:sz w:val="32"/>
                <w:szCs w:val="32"/>
                <w:lang w:val="de-AT" w:bidi="ar-IQ"/>
              </w:rPr>
              <w:t>-</w:t>
            </w:r>
            <w:proofErr w:type="spellStart"/>
            <w:r>
              <w:rPr>
                <w:sz w:val="32"/>
                <w:szCs w:val="32"/>
                <w:lang w:val="en-US" w:bidi="ar-IQ"/>
              </w:rPr>
              <w:t>Šukriyya</w:t>
            </w:r>
            <w:proofErr w:type="spellEnd"/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tribe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Pr="00F951B8" w:rsidRDefault="00F951B8">
            <w:pPr>
              <w:pStyle w:val="locNameFushaAr"/>
              <w:spacing w:after="0"/>
              <w:rPr>
                <w:b/>
                <w:bCs w:val="0"/>
                <w:sz w:val="32"/>
                <w:szCs w:val="32"/>
                <w:lang w:val="en-US" w:bidi="ar-IQ"/>
              </w:rPr>
            </w:pPr>
            <w:r w:rsidRPr="00F951B8">
              <w:rPr>
                <w:rFonts w:cs="Times New Roman"/>
                <w:b/>
                <w:bCs w:val="0"/>
                <w:sz w:val="32"/>
                <w:szCs w:val="32"/>
                <w:rtl/>
                <w:lang w:val="en-US" w:bidi="ar-IQ"/>
              </w:rPr>
              <w:t>الشكرية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pStyle w:val="locNameFusha"/>
            </w:pPr>
            <w:proofErr w:type="spellStart"/>
            <w:r>
              <w:rPr>
                <w:sz w:val="32"/>
                <w:szCs w:val="32"/>
                <w:lang w:val="de-AT" w:bidi="ar-IQ"/>
              </w:rPr>
              <w:t>aš</w:t>
            </w:r>
            <w:proofErr w:type="spellEnd"/>
            <w:r>
              <w:rPr>
                <w:sz w:val="32"/>
                <w:szCs w:val="32"/>
                <w:lang w:val="de-AT" w:bidi="ar-IQ"/>
              </w:rPr>
              <w:t>-</w:t>
            </w:r>
            <w:proofErr w:type="spellStart"/>
            <w:r>
              <w:rPr>
                <w:sz w:val="32"/>
                <w:szCs w:val="32"/>
                <w:lang w:val="en-US" w:bidi="ar-IQ"/>
              </w:rPr>
              <w:t>Šukriyya</w:t>
            </w:r>
            <w:proofErr w:type="spellEnd"/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pStyle w:val="geo"/>
              <w:rPr>
                <w:sz w:val="32"/>
                <w:szCs w:val="32"/>
                <w:lang w:val="de-AT"/>
              </w:rPr>
            </w:pPr>
            <w:r>
              <w:rPr>
                <w:sz w:val="32"/>
                <w:szCs w:val="32"/>
                <w:lang w:val="de-AT"/>
              </w:rPr>
              <w:t>al-</w:t>
            </w:r>
            <w:proofErr w:type="spellStart"/>
            <w:r>
              <w:rPr>
                <w:sz w:val="32"/>
                <w:szCs w:val="32"/>
                <w:lang w:val="de-AT"/>
              </w:rPr>
              <w:t>Buṭāna</w:t>
            </w:r>
            <w:proofErr w:type="spellEnd"/>
            <w:r>
              <w:rPr>
                <w:sz w:val="32"/>
                <w:szCs w:val="32"/>
                <w:lang w:val="de-AT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de-AT"/>
              </w:rPr>
              <w:t>region</w:t>
            </w:r>
            <w:proofErr w:type="spellEnd"/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East (Mashreq) &gt; Egypt-Sudan &gt; Sudan &gt; Eastern group &gt; Eastern Sudan</w:t>
            </w:r>
          </w:p>
          <w:p w:rsidR="007937C0" w:rsidRDefault="007937C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rPr>
                <w:lang w:val="en-US"/>
              </w:rPr>
            </w:pPr>
          </w:p>
          <w:p w:rsidR="007937C0" w:rsidRDefault="007937C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rPr>
                <w:b/>
                <w:szCs w:val="20"/>
                <w:lang w:val="en-US"/>
              </w:rPr>
            </w:pPr>
          </w:p>
          <w:p w:rsidR="007937C0" w:rsidRDefault="007937C0">
            <w:pPr>
              <w:pStyle w:val="typology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Typology (General)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pStyle w:val="typologyGen"/>
              <w:rPr>
                <w:sz w:val="32"/>
                <w:szCs w:val="32"/>
                <w:lang w:val="de-DE"/>
              </w:rPr>
            </w:pPr>
            <w:proofErr w:type="spellStart"/>
            <w:r>
              <w:rPr>
                <w:sz w:val="32"/>
                <w:szCs w:val="32"/>
                <w:lang w:val="de-DE"/>
              </w:rPr>
              <w:t>Bedouin</w:t>
            </w:r>
            <w:proofErr w:type="spellEnd"/>
            <w:r>
              <w:rPr>
                <w:sz w:val="32"/>
                <w:szCs w:val="32"/>
                <w:lang w:val="de-DE"/>
              </w:rPr>
              <w:t xml:space="preserve">-type </w:t>
            </w:r>
            <w:proofErr w:type="spellStart"/>
            <w:r>
              <w:rPr>
                <w:sz w:val="32"/>
                <w:szCs w:val="32"/>
                <w:lang w:val="de-DE"/>
              </w:rPr>
              <w:t>dialect</w:t>
            </w:r>
            <w:proofErr w:type="spellEnd"/>
          </w:p>
        </w:tc>
      </w:tr>
      <w:tr w:rsidR="007937C0" w:rsidRPr="00CE7AA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jc w:val="both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General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The </w:t>
            </w:r>
            <w:proofErr w:type="spellStart"/>
            <w:r>
              <w:rPr>
                <w:sz w:val="32"/>
                <w:szCs w:val="32"/>
                <w:lang w:val="en-GB"/>
              </w:rPr>
              <w:t>Shukriyya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, who themselves trace their ancestry back to Arabia and </w:t>
            </w:r>
            <w:proofErr w:type="spellStart"/>
            <w:r>
              <w:rPr>
                <w:sz w:val="32"/>
                <w:szCs w:val="32"/>
                <w:lang w:val="en-GB"/>
              </w:rPr>
              <w:t>Ǧaʿfar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b. </w:t>
            </w:r>
            <w:proofErr w:type="spellStart"/>
            <w:r>
              <w:rPr>
                <w:sz w:val="32"/>
                <w:szCs w:val="32"/>
                <w:lang w:val="en-GB"/>
              </w:rPr>
              <w:t>Abī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GB"/>
              </w:rPr>
              <w:t>Ṭālib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, are one of the most important tribes in Sudan and the largest tribe in the </w:t>
            </w:r>
            <w:proofErr w:type="spellStart"/>
            <w:r>
              <w:rPr>
                <w:sz w:val="32"/>
                <w:szCs w:val="32"/>
                <w:lang w:val="en-GB"/>
              </w:rPr>
              <w:t>Buṭāna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, a region between the Nile, the Blue Nile, and the Atbara. In the </w:t>
            </w:r>
            <w:proofErr w:type="gramStart"/>
            <w:r>
              <w:rPr>
                <w:sz w:val="32"/>
                <w:szCs w:val="32"/>
                <w:lang w:val="en-GB"/>
              </w:rPr>
              <w:t>1980s</w:t>
            </w:r>
            <w:proofErr w:type="gramEnd"/>
            <w:r>
              <w:rPr>
                <w:sz w:val="32"/>
                <w:szCs w:val="32"/>
                <w:lang w:val="en-GB"/>
              </w:rPr>
              <w:t xml:space="preserve"> their number was estimated to be 150,000 – 300,000. At that </w:t>
            </w:r>
            <w:proofErr w:type="gramStart"/>
            <w:r>
              <w:rPr>
                <w:sz w:val="32"/>
                <w:szCs w:val="32"/>
                <w:lang w:val="en-GB"/>
              </w:rPr>
              <w:t>time</w:t>
            </w:r>
            <w:proofErr w:type="gramEnd"/>
            <w:r>
              <w:rPr>
                <w:sz w:val="32"/>
                <w:szCs w:val="32"/>
                <w:lang w:val="en-GB"/>
              </w:rPr>
              <w:t xml:space="preserve"> their way of life was still nomadic or semi-nomadic.</w:t>
            </w:r>
          </w:p>
          <w:p w:rsidR="007937C0" w:rsidRDefault="00F951B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During the Turkish rule in the 19th century, some sections of the </w:t>
            </w:r>
            <w:proofErr w:type="spellStart"/>
            <w:r>
              <w:rPr>
                <w:sz w:val="32"/>
                <w:szCs w:val="32"/>
                <w:lang w:val="en-GB"/>
              </w:rPr>
              <w:t>Shukriyya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, particularly the Blue Nile </w:t>
            </w:r>
            <w:proofErr w:type="spellStart"/>
            <w:r>
              <w:rPr>
                <w:sz w:val="32"/>
                <w:szCs w:val="32"/>
                <w:lang w:val="en-GB"/>
              </w:rPr>
              <w:t>Shukriyya</w:t>
            </w:r>
            <w:proofErr w:type="spellEnd"/>
            <w:r>
              <w:rPr>
                <w:sz w:val="32"/>
                <w:szCs w:val="32"/>
                <w:lang w:val="en-GB"/>
              </w:rPr>
              <w:t>, inclined toward agriculture and sedentary life.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pStyle w:val="researchHistory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Hillelson</w:t>
            </w:r>
            <w:proofErr w:type="spellEnd"/>
            <w:r>
              <w:rPr>
                <w:sz w:val="32"/>
                <w:szCs w:val="32"/>
              </w:rPr>
              <w:t xml:space="preserve"> 1920 is an article on the historical poems and traditions of the </w:t>
            </w:r>
            <w:proofErr w:type="spellStart"/>
            <w:r>
              <w:rPr>
                <w:sz w:val="32"/>
                <w:szCs w:val="32"/>
              </w:rPr>
              <w:t>Shukriyya</w:t>
            </w:r>
            <w:proofErr w:type="spellEnd"/>
            <w:r>
              <w:rPr>
                <w:sz w:val="32"/>
                <w:szCs w:val="32"/>
              </w:rPr>
              <w:t xml:space="preserve">. In the 1960s and </w:t>
            </w:r>
            <w:proofErr w:type="gramStart"/>
            <w:r>
              <w:rPr>
                <w:sz w:val="32"/>
                <w:szCs w:val="32"/>
              </w:rPr>
              <w:t>1970s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Hurreiz</w:t>
            </w:r>
            <w:proofErr w:type="spellEnd"/>
            <w:r>
              <w:rPr>
                <w:sz w:val="32"/>
                <w:szCs w:val="32"/>
              </w:rPr>
              <w:t xml:space="preserve"> published three articles on </w:t>
            </w:r>
            <w:proofErr w:type="spellStart"/>
            <w:r>
              <w:rPr>
                <w:sz w:val="32"/>
                <w:szCs w:val="32"/>
              </w:rPr>
              <w:t>Shukriyya</w:t>
            </w:r>
            <w:proofErr w:type="spellEnd"/>
            <w:r>
              <w:rPr>
                <w:sz w:val="32"/>
                <w:szCs w:val="32"/>
              </w:rPr>
              <w:t xml:space="preserve"> oral poetry (</w:t>
            </w:r>
            <w:proofErr w:type="spellStart"/>
            <w:r>
              <w:rPr>
                <w:sz w:val="32"/>
                <w:szCs w:val="32"/>
              </w:rPr>
              <w:t>Hurreiz</w:t>
            </w:r>
            <w:proofErr w:type="spellEnd"/>
            <w:r>
              <w:rPr>
                <w:sz w:val="32"/>
                <w:szCs w:val="32"/>
              </w:rPr>
              <w:t xml:space="preserve"> 1969, </w:t>
            </w:r>
            <w:proofErr w:type="spellStart"/>
            <w:r>
              <w:rPr>
                <w:sz w:val="32"/>
                <w:szCs w:val="32"/>
              </w:rPr>
              <w:t>Hurreiz</w:t>
            </w:r>
            <w:proofErr w:type="spellEnd"/>
            <w:r>
              <w:rPr>
                <w:sz w:val="32"/>
                <w:szCs w:val="32"/>
              </w:rPr>
              <w:t xml:space="preserve"> 1974, </w:t>
            </w:r>
            <w:proofErr w:type="spellStart"/>
            <w:r>
              <w:rPr>
                <w:sz w:val="32"/>
                <w:szCs w:val="32"/>
              </w:rPr>
              <w:t>Hurreiz</w:t>
            </w:r>
            <w:proofErr w:type="spellEnd"/>
            <w:r>
              <w:rPr>
                <w:sz w:val="32"/>
                <w:szCs w:val="32"/>
              </w:rPr>
              <w:t xml:space="preserve"> 1978).</w:t>
            </w:r>
          </w:p>
          <w:p w:rsidR="007937C0" w:rsidRDefault="00F951B8">
            <w:pPr>
              <w:pStyle w:val="researchHistory"/>
              <w:jc w:val="both"/>
            </w:pPr>
            <w:proofErr w:type="spellStart"/>
            <w:r>
              <w:rPr>
                <w:sz w:val="32"/>
                <w:szCs w:val="32"/>
              </w:rPr>
              <w:t>Reichmuth</w:t>
            </w:r>
            <w:proofErr w:type="spellEnd"/>
            <w:r>
              <w:rPr>
                <w:sz w:val="32"/>
                <w:szCs w:val="32"/>
              </w:rPr>
              <w:t xml:space="preserve"> 1983 is still the only monograph on the Arabic spoken by the </w:t>
            </w:r>
            <w:proofErr w:type="spellStart"/>
            <w:r>
              <w:rPr>
                <w:sz w:val="32"/>
                <w:szCs w:val="32"/>
                <w:lang w:val="en-US"/>
              </w:rPr>
              <w:t>Šukriyya</w:t>
            </w:r>
            <w:proofErr w:type="spellEnd"/>
            <w:r>
              <w:rPr>
                <w:sz w:val="32"/>
                <w:szCs w:val="32"/>
                <w:lang w:val="en-US"/>
              </w:rPr>
              <w:t>. It offers a comprehensive description of the variety’s phonology and morphology, plus some background information on the tribe and the position of the dialect within the Arabic varieties of Sudan.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7937C0">
            <w:pPr>
              <w:pStyle w:val="dicts"/>
              <w:rPr>
                <w:sz w:val="32"/>
                <w:szCs w:val="32"/>
                <w:lang w:val="de-DE"/>
              </w:rPr>
            </w:pP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7937C0">
            <w:pPr>
              <w:pStyle w:val="textbooks"/>
              <w:rPr>
                <w:sz w:val="32"/>
                <w:szCs w:val="32"/>
                <w:shd w:val="clear" w:color="auto" w:fill="FFFFFF"/>
                <w:lang w:val="de-DE"/>
              </w:rPr>
            </w:pP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7937C0">
            <w:pPr>
              <w:pStyle w:val="audio"/>
              <w:rPr>
                <w:sz w:val="32"/>
                <w:szCs w:val="32"/>
                <w:shd w:val="clear" w:color="auto" w:fill="FFFFFF"/>
                <w:lang w:val="de-DE"/>
              </w:rPr>
            </w:pP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shd w:val="clear" w:color="auto" w:fill="FFFFFF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{leave empty}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7937C0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37C0" w:rsidRDefault="00F951B8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</w:tbl>
    <w:p w:rsidR="007937C0" w:rsidRDefault="007937C0">
      <w:pPr>
        <w:rPr>
          <w:lang w:val="en-GB"/>
        </w:rPr>
      </w:pPr>
    </w:p>
    <w:p w:rsidR="007937C0" w:rsidRDefault="007937C0">
      <w:pPr>
        <w:rPr>
          <w:lang w:val="en-GB"/>
        </w:rPr>
      </w:pPr>
    </w:p>
    <w:p w:rsidR="007937C0" w:rsidRDefault="007937C0"/>
    <w:sectPr w:rsidR="007937C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97B" w:rsidRDefault="00F951B8">
      <w:r>
        <w:separator/>
      </w:r>
    </w:p>
  </w:endnote>
  <w:endnote w:type="continuationSeparator" w:id="0">
    <w:p w:rsidR="007F797B" w:rsidRDefault="00F9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35" w:rsidRDefault="00CE7A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35" w:rsidRDefault="00CE7A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97B" w:rsidRDefault="00F951B8">
      <w:r>
        <w:separator/>
      </w:r>
    </w:p>
  </w:footnote>
  <w:footnote w:type="continuationSeparator" w:id="0">
    <w:p w:rsidR="007F797B" w:rsidRDefault="00F95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35" w:rsidRDefault="00CE7A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E35" w:rsidRDefault="00CE7AA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C0"/>
    <w:rsid w:val="007937C0"/>
    <w:rsid w:val="007F797B"/>
    <w:rsid w:val="00A41064"/>
    <w:rsid w:val="00CE7AA3"/>
    <w:rsid w:val="00F9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3F67C5-DF87-4300-A779-3A6DB611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0" w:line="240" w:lineRule="auto"/>
    </w:pPr>
    <w:rPr>
      <w:rFonts w:ascii="Code" w:hAnsi="Code" w:cs="Code"/>
      <w:color w:val="000000"/>
      <w:sz w:val="24"/>
      <w:szCs w:val="24"/>
      <w:lang w:val="de-DE"/>
    </w:rPr>
  </w:style>
  <w:style w:type="paragraph" w:styleId="berschrift1">
    <w:name w:val="heading 1"/>
    <w:basedOn w:val="Standard"/>
    <w:next w:val="Textbody"/>
    <w:pPr>
      <w:keepNext/>
      <w:keepLines/>
      <w:shd w:val="clear" w:color="auto" w:fill="FFFFFF"/>
      <w:spacing w:after="150"/>
      <w:outlineLvl w:val="0"/>
    </w:pPr>
    <w:rPr>
      <w:sz w:val="26"/>
      <w:szCs w:val="20"/>
      <w:lang w:val="en-US"/>
    </w:rPr>
  </w:style>
  <w:style w:type="paragraph" w:styleId="berschrift3">
    <w:name w:val="heading 3"/>
    <w:basedOn w:val="Standard"/>
    <w:next w:val="Textbody"/>
    <w:pPr>
      <w:keepNext/>
      <w:keepLines/>
      <w:spacing w:before="120" w:after="120" w:line="360" w:lineRule="auto"/>
      <w:outlineLvl w:val="2"/>
    </w:pPr>
    <w:rPr>
      <w:lang w:val="en-US"/>
    </w:rPr>
  </w:style>
  <w:style w:type="paragraph" w:styleId="berschrift4">
    <w:name w:val="heading 4"/>
    <w:basedOn w:val="Standard"/>
    <w:next w:val="Textbody"/>
    <w:pPr>
      <w:keepNext/>
      <w:keepLines/>
      <w:spacing w:before="120" w:after="120" w:line="360" w:lineRule="auto"/>
      <w:outlineLvl w:val="3"/>
    </w:pPr>
    <w:rPr>
      <w:iCs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Funotentext">
    <w:name w:val="footnote text"/>
    <w:basedOn w:val="Standard"/>
    <w:rPr>
      <w:sz w:val="20"/>
      <w:szCs w:val="20"/>
      <w:lang w:val="en-US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xmlID">
    <w:name w:val="xmlID"/>
    <w:basedOn w:val="Standard"/>
    <w:rPr>
      <w:bCs/>
      <w:lang w:val="en-GB"/>
    </w:rPr>
  </w:style>
  <w:style w:type="paragraph" w:customStyle="1" w:styleId="author">
    <w:name w:val="author"/>
    <w:basedOn w:val="Standard"/>
    <w:rPr>
      <w:lang w:val="en-GB"/>
    </w:rPr>
  </w:style>
  <w:style w:type="paragraph" w:customStyle="1" w:styleId="imageCopyright">
    <w:name w:val="imageCopyright"/>
    <w:basedOn w:val="Standard"/>
    <w:rPr>
      <w:lang w:val="en-GB"/>
    </w:rPr>
  </w:style>
  <w:style w:type="paragraph" w:customStyle="1" w:styleId="image">
    <w:name w:val="image"/>
    <w:basedOn w:val="Standard"/>
    <w:rPr>
      <w:color w:val="FF0000"/>
      <w:lang w:val="en-GB"/>
    </w:rPr>
  </w:style>
  <w:style w:type="paragraph" w:customStyle="1" w:styleId="locNameFusha">
    <w:name w:val="locNameFusha"/>
    <w:basedOn w:val="Standard"/>
    <w:rPr>
      <w:lang w:val="en-GB"/>
    </w:rPr>
  </w:style>
  <w:style w:type="paragraph" w:customStyle="1" w:styleId="locNameFushaAr">
    <w:name w:val="locNameFushaAr"/>
    <w:basedOn w:val="Standard"/>
    <w:pPr>
      <w:spacing w:before="100" w:after="100"/>
      <w:outlineLvl w:val="0"/>
    </w:pPr>
    <w:rPr>
      <w:rFonts w:eastAsia="Times New Roman"/>
      <w:bCs/>
      <w:lang w:eastAsia="de-DE"/>
    </w:rPr>
  </w:style>
  <w:style w:type="paragraph" w:customStyle="1" w:styleId="geo">
    <w:name w:val="geo"/>
    <w:basedOn w:val="Standard"/>
    <w:pPr>
      <w:shd w:val="clear" w:color="auto" w:fill="FFFFFF"/>
    </w:pPr>
    <w:rPr>
      <w:lang w:val="en-GB"/>
    </w:rPr>
  </w:style>
  <w:style w:type="paragraph" w:customStyle="1" w:styleId="typology">
    <w:name w:val="typology"/>
    <w:basedOn w:val="Standard"/>
    <w:pPr>
      <w:shd w:val="clear" w:color="auto" w:fill="FFFFFF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</w:pPr>
    <w:rPr>
      <w:lang w:val="en-GB"/>
    </w:rPr>
  </w:style>
  <w:style w:type="paragraph" w:customStyle="1" w:styleId="gen">
    <w:name w:val="gen"/>
    <w:basedOn w:val="Standard"/>
    <w:pPr>
      <w:shd w:val="clear" w:color="auto" w:fill="FFFFFF"/>
    </w:pPr>
    <w:rPr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</w:pPr>
    <w:rPr>
      <w:lang w:val="en-GB"/>
    </w:rPr>
  </w:style>
  <w:style w:type="paragraph" w:customStyle="1" w:styleId="dicts">
    <w:name w:val="dicts"/>
    <w:basedOn w:val="Standard"/>
    <w:pPr>
      <w:shd w:val="clear" w:color="auto" w:fill="FFFFFF"/>
    </w:pPr>
    <w:rPr>
      <w:lang w:val="en-GB"/>
    </w:rPr>
  </w:style>
  <w:style w:type="paragraph" w:customStyle="1" w:styleId="textbooks">
    <w:name w:val="textbooks"/>
    <w:basedOn w:val="Standard"/>
    <w:pPr>
      <w:shd w:val="clear" w:color="auto" w:fill="FFFFFF"/>
    </w:pPr>
    <w:rPr>
      <w:lang w:val="en-GB"/>
    </w:rPr>
  </w:style>
  <w:style w:type="paragraph" w:customStyle="1" w:styleId="audio">
    <w:name w:val="audio"/>
    <w:basedOn w:val="Standard"/>
    <w:pPr>
      <w:shd w:val="clear" w:color="auto" w:fill="FFFFFF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erschrift3Zchn">
    <w:name w:val="Überschrift 3 Zchn"/>
    <w:basedOn w:val="Absatz-Standardschriftart"/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customStyle="1" w:styleId="berschrift1Zchn">
    <w:name w:val="Überschrift 1 Zchn"/>
    <w:basedOn w:val="Absatz-Standardschriftart"/>
    <w:rPr>
      <w:sz w:val="26"/>
      <w:szCs w:val="20"/>
    </w:rPr>
  </w:style>
  <w:style w:type="character" w:customStyle="1" w:styleId="berschrift4Zchn">
    <w:name w:val="Überschrift 4 Zchn"/>
    <w:basedOn w:val="Absatz-Standardschriftart"/>
    <w:rPr>
      <w:iCs/>
      <w:sz w:val="24"/>
    </w:rPr>
  </w:style>
  <w:style w:type="character" w:customStyle="1" w:styleId="KopfzeileZchn">
    <w:name w:val="Kopfzeile Zchn"/>
    <w:basedOn w:val="Absatz-Standardschriftart"/>
    <w:rPr>
      <w:lang w:val="de-DE"/>
    </w:rPr>
  </w:style>
  <w:style w:type="character" w:customStyle="1" w:styleId="FuzeileZchn">
    <w:name w:val="Fußzeile Zchn"/>
    <w:basedOn w:val="Absatz-Standardschriftart"/>
    <w:rPr>
      <w:lang w:val="de-DE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 Leitner</dc:creator>
  <cp:lastModifiedBy>Bettina Leitner</cp:lastModifiedBy>
  <cp:revision>4</cp:revision>
  <dcterms:created xsi:type="dcterms:W3CDTF">2019-01-08T09:49:00Z</dcterms:created>
  <dcterms:modified xsi:type="dcterms:W3CDTF">2019-01-08T09:54:00Z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Universitaet Wien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