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88" w:rsidRDefault="00991DB7">
      <w:pPr>
        <w:rPr>
          <w:lang w:val="en-GB"/>
        </w:rPr>
      </w:pPr>
      <w:bookmarkStart w:id="0" w:name="_GoBack"/>
      <w:bookmarkEnd w:id="0"/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7D5188" w:rsidRDefault="007D5188">
      <w:pPr>
        <w:rPr>
          <w:lang w:val="en-GB"/>
        </w:rPr>
      </w:pPr>
    </w:p>
    <w:tbl>
      <w:tblPr>
        <w:tblW w:w="928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4"/>
        <w:gridCol w:w="7224"/>
      </w:tblGrid>
      <w:tr w:rsidR="007D5188" w:rsidRPr="00991DB7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pStyle w:val="xmlID"/>
            </w:pPr>
            <w:r>
              <w:rPr>
                <w:color w:val="FFFFFF"/>
                <w:sz w:val="32"/>
                <w:szCs w:val="32"/>
                <w:lang w:val="fr-FR"/>
              </w:rPr>
              <w:t>p</w:t>
            </w:r>
            <w:r>
              <w:rPr>
                <w:sz w:val="32"/>
                <w:szCs w:val="32"/>
                <w:lang w:val="fr-FR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>profile</w:t>
            </w:r>
            <w:proofErr w:type="gramStart"/>
            <w:r>
              <w:rPr>
                <w:sz w:val="32"/>
                <w:szCs w:val="32"/>
                <w:lang w:val="fr-FR"/>
              </w:rPr>
              <w:t>_{</w:t>
            </w:r>
            <w:proofErr w:type="gramEnd"/>
            <w:r>
              <w:rPr>
                <w:sz w:val="32"/>
                <w:szCs w:val="32"/>
                <w:lang w:val="fr-FR"/>
              </w:rPr>
              <w:t>location}_01</w:t>
            </w:r>
            <w:r>
              <w:rPr>
                <w:color w:val="FFFFFF"/>
                <w:sz w:val="32"/>
                <w:szCs w:val="32"/>
                <w:lang w:val="fr-FR"/>
              </w:rPr>
              <w:t>rofile_{location}_01</w:t>
            </w:r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Bettina </w:t>
            </w:r>
            <w:proofErr w:type="spellStart"/>
            <w:r>
              <w:rPr>
                <w:sz w:val="32"/>
                <w:szCs w:val="32"/>
              </w:rPr>
              <w:t>Leitner</w:t>
            </w:r>
            <w:proofErr w:type="spellEnd"/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7D5188">
            <w:pPr>
              <w:pStyle w:val="image"/>
              <w:rPr>
                <w:color w:val="000000"/>
                <w:sz w:val="32"/>
                <w:szCs w:val="32"/>
              </w:rPr>
            </w:pPr>
          </w:p>
        </w:tc>
      </w:tr>
      <w:tr w:rsidR="007D5188" w:rsidRPr="00991DB7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pStyle w:val="imageCopy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https://www.researchgate.net/figure/The-oasis-of-Ghat-Fezzan-a-foraging-and-roosting-area-of-Rhinolophus-clivosus-and_fig12_271845580</w:t>
            </w:r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 xml:space="preserve">Name of </w:t>
            </w:r>
            <w:r>
              <w:rPr>
                <w:color w:val="0070C0"/>
                <w:sz w:val="32"/>
                <w:szCs w:val="32"/>
                <w:lang w:val="en-GB"/>
              </w:rPr>
              <w:t>location (English)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</w:pPr>
            <w:proofErr w:type="spellStart"/>
            <w:r>
              <w:t>Fezzan</w:t>
            </w:r>
            <w:proofErr w:type="spellEnd"/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pStyle w:val="locNameFusha"/>
              <w:rPr>
                <w:lang w:val="de-AT"/>
              </w:rPr>
            </w:pPr>
            <w:proofErr w:type="spellStart"/>
            <w:r>
              <w:rPr>
                <w:lang w:val="de-AT"/>
              </w:rPr>
              <w:t>Fazzān</w:t>
            </w:r>
            <w:proofErr w:type="spellEnd"/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pStyle w:val="locNameFushaAr"/>
              <w:spacing w:before="0" w:after="0"/>
              <w:outlineLvl w:val="9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rtl/>
              </w:rPr>
              <w:t>فزان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cs/>
              </w:rPr>
              <w:t>‎</w:t>
            </w:r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in local variety (in transcription)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pStyle w:val="locNameFusha"/>
            </w:pPr>
            <w:proofErr w:type="spellStart"/>
            <w:r>
              <w:rPr>
                <w:lang w:val="de-AT"/>
              </w:rPr>
              <w:t>F</w:t>
            </w:r>
            <w:r>
              <w:rPr>
                <w:lang w:val="de-AT"/>
              </w:rPr>
              <w:t>ə</w:t>
            </w:r>
            <w:r>
              <w:rPr>
                <w:lang w:val="de-AT"/>
              </w:rPr>
              <w:t>zzān</w:t>
            </w:r>
            <w:proofErr w:type="spellEnd"/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pStyle w:val="geo"/>
            </w:pPr>
            <w:hyperlink r:id="rId7" w:history="1">
              <w:r>
                <w:rPr>
                  <w:rStyle w:val="latitude"/>
                  <w:rFonts w:ascii="Arial" w:hAnsi="Arial" w:cs="Arial"/>
                  <w:color w:val="663366"/>
                  <w:sz w:val="19"/>
                  <w:szCs w:val="19"/>
                  <w:shd w:val="clear" w:color="auto" w:fill="F8F9FA"/>
                </w:rPr>
                <w:t>27°02′20″N</w:t>
              </w:r>
            </w:hyperlink>
            <w:hyperlink r:id="rId8" w:history="1">
              <w:r>
                <w:rPr>
                  <w:rStyle w:val="geo-dms"/>
                  <w:rFonts w:ascii="Arial" w:hAnsi="Arial" w:cs="Arial"/>
                  <w:color w:val="663366"/>
                  <w:sz w:val="19"/>
                  <w:szCs w:val="19"/>
                  <w:shd w:val="clear" w:color="auto" w:fill="F8F9FA"/>
                </w:rPr>
                <w:t> </w:t>
              </w:r>
            </w:hyperlink>
            <w:hyperlink r:id="rId9" w:history="1">
              <w:r>
                <w:rPr>
                  <w:rStyle w:val="longitude"/>
                  <w:rFonts w:ascii="Arial" w:hAnsi="Arial" w:cs="Arial"/>
                  <w:color w:val="663366"/>
                  <w:sz w:val="19"/>
                  <w:szCs w:val="19"/>
                  <w:shd w:val="clear" w:color="auto" w:fill="F8F9FA"/>
                </w:rPr>
                <w:t>14°25′35″E</w:t>
              </w:r>
            </w:hyperlink>
            <w:r>
              <w:t xml:space="preserve"> (</w:t>
            </w:r>
            <w:proofErr w:type="spellStart"/>
            <w:r>
              <w:t>Sebha</w:t>
            </w:r>
            <w:proofErr w:type="spellEnd"/>
            <w:r>
              <w:t>)</w:t>
            </w:r>
          </w:p>
        </w:tc>
      </w:tr>
      <w:tr w:rsidR="007D5188" w:rsidRPr="00991DB7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(Local)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Pr="00991DB7" w:rsidRDefault="00991DB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after="0"/>
              <w:rPr>
                <w:lang w:val="en-US"/>
              </w:rPr>
            </w:pPr>
            <w:r>
              <w:rPr>
                <w:bCs/>
                <w:szCs w:val="20"/>
                <w:lang w:val="en-US"/>
              </w:rPr>
              <w:t xml:space="preserve">West (Maghreb) &gt; Libya </w:t>
            </w:r>
            <w:r>
              <w:rPr>
                <w:b/>
                <w:szCs w:val="20"/>
                <w:lang w:val="en-US"/>
              </w:rPr>
              <w:tab/>
            </w:r>
            <w:r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Western group (Tripolitania and Fezzan)</w:t>
            </w:r>
          </w:p>
          <w:p w:rsidR="007D5188" w:rsidRDefault="007D518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after="0"/>
              <w:rPr>
                <w:b/>
                <w:szCs w:val="20"/>
                <w:lang w:val="en-US"/>
              </w:rPr>
            </w:pPr>
          </w:p>
        </w:tc>
      </w:tr>
      <w:tr w:rsidR="007D5188" w:rsidRPr="00991DB7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(General)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pStyle w:val="typologyGen"/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DFCCE4"/>
              </w:rPr>
              <w:t>C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onservative variety of Bedouin Libyan Arabic</w:t>
            </w:r>
          </w:p>
        </w:tc>
      </w:tr>
      <w:tr w:rsidR="007D5188" w:rsidRPr="00991DB7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jc w:val="both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pStyle w:val="gen"/>
              <w:shd w:val="clear" w:color="auto" w:fill="auto"/>
            </w:pPr>
            <w:r>
              <w:t xml:space="preserve">The </w:t>
            </w:r>
            <w:proofErr w:type="spellStart"/>
            <w:r>
              <w:t>toponym</w:t>
            </w:r>
            <w:proofErr w:type="spellEnd"/>
            <w:r>
              <w:t xml:space="preserve"> Fezzan goes back to antiquity (Latin </w:t>
            </w:r>
            <w:proofErr w:type="spellStart"/>
            <w:r>
              <w:t>Phasania</w:t>
            </w:r>
            <w:proofErr w:type="spellEnd"/>
            <w:r>
              <w:t>) and refers</w:t>
            </w:r>
            <w:r>
              <w:rPr>
                <w:shd w:val="clear" w:color="auto" w:fill="DFCCE4"/>
              </w:rPr>
              <w:t xml:space="preserve"> </w:t>
            </w:r>
            <w:r>
              <w:t xml:space="preserve">to a large area of oases in the Libyan Desert. </w:t>
            </w:r>
            <w:proofErr w:type="spellStart"/>
            <w:r>
              <w:t>Sebha</w:t>
            </w:r>
            <w:proofErr w:type="spellEnd"/>
            <w:r>
              <w:t xml:space="preserve"> is the chief </w:t>
            </w:r>
            <w:r>
              <w:t xml:space="preserve">town of the Fezzan, which is inhabited by approximately 450,000 people, about three quarters of whom are sedentary and called </w:t>
            </w:r>
            <w:proofErr w:type="spellStart"/>
            <w:r>
              <w:t>Fazāzna</w:t>
            </w:r>
            <w:proofErr w:type="spellEnd"/>
            <w:r>
              <w:t xml:space="preserve"> (sg. </w:t>
            </w:r>
            <w:proofErr w:type="spellStart"/>
            <w:r>
              <w:t>Fazzānī</w:t>
            </w:r>
            <w:proofErr w:type="spellEnd"/>
            <w:r>
              <w:t xml:space="preserve">). They are all </w:t>
            </w:r>
            <w:proofErr w:type="spellStart"/>
            <w:r>
              <w:t>Sunnī</w:t>
            </w:r>
            <w:proofErr w:type="spellEnd"/>
            <w:r>
              <w:t xml:space="preserve"> Muslims of the </w:t>
            </w:r>
            <w:proofErr w:type="spellStart"/>
            <w:r>
              <w:t>Mālikī</w:t>
            </w:r>
            <w:proofErr w:type="spellEnd"/>
            <w:r>
              <w:t xml:space="preserve"> rite and the cultivators of these oases.</w:t>
            </w:r>
          </w:p>
          <w:p w:rsidR="007D5188" w:rsidRDefault="00991DB7">
            <w:pPr>
              <w:pStyle w:val="gen"/>
              <w:shd w:val="clear" w:color="auto" w:fill="auto"/>
            </w:pPr>
            <w:r>
              <w:t xml:space="preserve">The Libyan dialects have </w:t>
            </w:r>
            <w:r>
              <w:t xml:space="preserve">been divided into three areas: the western area includes Tripolitania and Fezzan, the eastern area is Cyrenaica, and </w:t>
            </w:r>
            <w:r>
              <w:lastRenderedPageBreak/>
              <w:t xml:space="preserve">the transitional zone includes </w:t>
            </w:r>
            <w:proofErr w:type="spellStart"/>
            <w:r>
              <w:t>Sebha</w:t>
            </w:r>
            <w:proofErr w:type="spellEnd"/>
            <w:r>
              <w:t xml:space="preserve"> in the Fezzan, </w:t>
            </w:r>
            <w:proofErr w:type="spellStart"/>
            <w:r>
              <w:t>Misurata</w:t>
            </w:r>
            <w:proofErr w:type="spellEnd"/>
            <w:r>
              <w:t xml:space="preserve"> in Tripolitania, and the </w:t>
            </w:r>
            <w:proofErr w:type="spellStart"/>
            <w:r>
              <w:t>Sirt</w:t>
            </w:r>
            <w:proofErr w:type="spellEnd"/>
            <w:r>
              <w:t xml:space="preserve"> and </w:t>
            </w:r>
            <w:proofErr w:type="spellStart"/>
            <w:r>
              <w:t>Jufra</w:t>
            </w:r>
            <w:proofErr w:type="spellEnd"/>
            <w:r>
              <w:t xml:space="preserve"> regions.</w:t>
            </w:r>
          </w:p>
        </w:tc>
      </w:tr>
      <w:tr w:rsidR="007D5188" w:rsidRPr="00991DB7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Research history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Marçais</w:t>
            </w:r>
            <w:proofErr w:type="spellEnd"/>
            <w:r>
              <w:rPr>
                <w:color w:val="000000"/>
                <w:sz w:val="24"/>
                <w:szCs w:val="24"/>
                <w:lang w:val="en-GB"/>
              </w:rPr>
              <w:t xml:space="preserve"> 200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1 (edited by Dominique </w:t>
            </w: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Caubet</w:t>
            </w:r>
            <w:proofErr w:type="spellEnd"/>
            <w:r>
              <w:rPr>
                <w:color w:val="000000"/>
                <w:sz w:val="24"/>
                <w:szCs w:val="24"/>
                <w:lang w:val="en-GB"/>
              </w:rPr>
              <w:t xml:space="preserve"> et al.) contains, besides a short description of morphological elements, a number of texts in the Arabic dialects of the Fezzan which were collected in the 1950s.</w:t>
            </w:r>
          </w:p>
          <w:p w:rsidR="007D5188" w:rsidRPr="00991DB7" w:rsidRDefault="00991DB7">
            <w:pPr>
              <w:spacing w:after="0" w:line="240" w:lineRule="auto"/>
              <w:rPr>
                <w:lang w:val="en-US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All further publications on </w:t>
            </w: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Fezzani</w:t>
            </w:r>
            <w:proofErr w:type="spellEnd"/>
            <w:r>
              <w:rPr>
                <w:color w:val="000000"/>
                <w:sz w:val="24"/>
                <w:szCs w:val="24"/>
                <w:lang w:val="en-GB"/>
              </w:rPr>
              <w:t xml:space="preserve"> Arabic are based on </w:t>
            </w: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Marçais</w:t>
            </w:r>
            <w:proofErr w:type="spellEnd"/>
            <w:r>
              <w:rPr>
                <w:color w:val="000000"/>
                <w:sz w:val="24"/>
                <w:szCs w:val="24"/>
                <w:lang w:val="en-GB"/>
              </w:rPr>
              <w:t xml:space="preserve">’ prose texts published in 2001. Grammatical remarks are found in Bettini 2004. </w:t>
            </w:r>
            <w:proofErr w:type="spellStart"/>
            <w:r>
              <w:rPr>
                <w:sz w:val="24"/>
                <w:szCs w:val="24"/>
                <w:lang w:val="en-US"/>
              </w:rPr>
              <w:t>Caubet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2004 is a concise description of the phonology, morphology, syntax, and lexicon of both the nomadic and sedentary dialects of the Fezzan.</w:t>
            </w:r>
          </w:p>
          <w:p w:rsidR="007D5188" w:rsidRDefault="00991DB7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D’Anna</w:t>
            </w:r>
            <w:proofErr w:type="spellEnd"/>
            <w:r>
              <w:rPr>
                <w:color w:val="000000"/>
                <w:sz w:val="24"/>
                <w:szCs w:val="24"/>
                <w:lang w:val="en-GB"/>
              </w:rPr>
              <w:t xml:space="preserve"> 2017a deals with the dev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elopment of conditional particles in </w:t>
            </w: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Fezzani</w:t>
            </w:r>
            <w:proofErr w:type="spellEnd"/>
            <w:r>
              <w:rPr>
                <w:color w:val="000000"/>
                <w:sz w:val="24"/>
                <w:szCs w:val="24"/>
                <w:lang w:val="en-GB"/>
              </w:rPr>
              <w:t xml:space="preserve"> Arabic, and </w:t>
            </w: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D’Anna</w:t>
            </w:r>
            <w:proofErr w:type="spellEnd"/>
            <w:r>
              <w:rPr>
                <w:color w:val="000000"/>
                <w:sz w:val="24"/>
                <w:szCs w:val="24"/>
                <w:lang w:val="en-GB"/>
              </w:rPr>
              <w:t xml:space="preserve"> 2017b is on agreement patterns.</w:t>
            </w:r>
          </w:p>
          <w:p w:rsidR="007D5188" w:rsidRDefault="00991DB7">
            <w:pPr>
              <w:pStyle w:val="researchHistory"/>
              <w:shd w:val="clear" w:color="auto" w:fill="auto"/>
            </w:pPr>
            <w:proofErr w:type="spellStart"/>
            <w:r>
              <w:t>D’Anna</w:t>
            </w:r>
            <w:proofErr w:type="spellEnd"/>
            <w:r>
              <w:t xml:space="preserve"> &amp; </w:t>
            </w:r>
            <w:proofErr w:type="spellStart"/>
            <w:r>
              <w:t>Marmorstein</w:t>
            </w:r>
            <w:proofErr w:type="spellEnd"/>
            <w:r>
              <w:t xml:space="preserve"> 2018 is the most recent article on </w:t>
            </w:r>
            <w:proofErr w:type="spellStart"/>
            <w:r>
              <w:t>Fezzani</w:t>
            </w:r>
            <w:proofErr w:type="spellEnd"/>
            <w:r>
              <w:t xml:space="preserve"> Arabic, discussing</w:t>
            </w:r>
            <w:r>
              <w:rPr>
                <w:shd w:val="clear" w:color="auto" w:fill="DFCCE4"/>
              </w:rPr>
              <w:t xml:space="preserve"> </w:t>
            </w:r>
            <w:r>
              <w:t>verbal negation in the dialects.</w:t>
            </w:r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Dictionaries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7D5188">
            <w:pPr>
              <w:pStyle w:val="dicts"/>
              <w:rPr>
                <w:shd w:val="clear" w:color="auto" w:fill="FFFF00"/>
              </w:rPr>
            </w:pPr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7D5188">
            <w:pPr>
              <w:pStyle w:val="textbooks"/>
              <w:rPr>
                <w:sz w:val="32"/>
                <w:szCs w:val="32"/>
                <w:shd w:val="clear" w:color="auto" w:fill="FFFF00"/>
              </w:rPr>
            </w:pPr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Audio data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7D5188">
            <w:pPr>
              <w:pStyle w:val="audio"/>
              <w:jc w:val="both"/>
              <w:rPr>
                <w:shd w:val="clear" w:color="auto" w:fill="FFFF00"/>
              </w:rPr>
            </w:pPr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7D5188">
        <w:tblPrEx>
          <w:tblCellMar>
            <w:top w:w="0" w:type="dxa"/>
            <w:bottom w:w="0" w:type="dxa"/>
          </w:tblCellMar>
        </w:tblPrEx>
        <w:tc>
          <w:tcPr>
            <w:tcW w:w="2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Linguistic features</w:t>
            </w:r>
          </w:p>
        </w:tc>
        <w:tc>
          <w:tcPr>
            <w:tcW w:w="7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D5188" w:rsidRDefault="00991DB7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</w:tbl>
    <w:p w:rsidR="007D5188" w:rsidRDefault="007D5188">
      <w:pPr>
        <w:rPr>
          <w:sz w:val="24"/>
          <w:szCs w:val="24"/>
          <w:lang w:val="en-GB"/>
        </w:rPr>
      </w:pPr>
    </w:p>
    <w:p w:rsidR="007D5188" w:rsidRDefault="007D5188"/>
    <w:sectPr w:rsidR="007D5188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91DB7">
      <w:pPr>
        <w:spacing w:after="0" w:line="240" w:lineRule="auto"/>
      </w:pPr>
      <w:r>
        <w:separator/>
      </w:r>
    </w:p>
  </w:endnote>
  <w:endnote w:type="continuationSeparator" w:id="0">
    <w:p w:rsidR="00000000" w:rsidRDefault="0099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AFE" w:rsidRDefault="00991DB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AFE" w:rsidRDefault="00991DB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91DB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991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AFE" w:rsidRDefault="00991DB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AFE" w:rsidRDefault="00991DB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3700A"/>
    <w:multiLevelType w:val="multilevel"/>
    <w:tmpl w:val="0E704038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499E7C01"/>
    <w:multiLevelType w:val="multilevel"/>
    <w:tmpl w:val="181A20D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D5188"/>
    <w:rsid w:val="007D5188"/>
    <w:rsid w:val="0099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2E0354-BE95-4AB3-817B-AFDA1662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Lucida Sans Unicode" w:hAnsi="Calibri" w:cs="Tahoma"/>
        <w:sz w:val="22"/>
        <w:szCs w:val="22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  <w:spacing w:after="160" w:line="256" w:lineRule="auto"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berschrift">
    <w:name w:val="Überschrift"/>
    <w:basedOn w:val="Standard"/>
    <w:pPr>
      <w:keepNext/>
      <w:spacing w:before="240" w:after="120"/>
    </w:pPr>
    <w:rPr>
      <w:rFonts w:ascii="Arial" w:eastAsia="Arial" w:hAnsi="Arial" w:cs="Mangal"/>
      <w:sz w:val="28"/>
      <w:szCs w:val="28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customStyle="1" w:styleId="SprechblasentextZchn">
    <w:name w:val="Sprechblasentext Zchn"/>
    <w:basedOn w:val="Absatz-Standardschriftart"/>
    <w:rPr>
      <w:rFonts w:ascii="Tahoma" w:eastAsia="Tahoma" w:hAnsi="Tahoma" w:cs="Tahoma"/>
      <w:sz w:val="16"/>
      <w:szCs w:val="16"/>
    </w:rPr>
  </w:style>
  <w:style w:type="character" w:customStyle="1" w:styleId="Internetlink0">
    <w:name w:val="Internet link"/>
    <w:basedOn w:val="Absatz-Standardschriftart"/>
    <w:rPr>
      <w:color w:val="0000FF"/>
      <w:u w:val="single"/>
    </w:rPr>
  </w:style>
  <w:style w:type="character" w:styleId="Hervorhebung">
    <w:name w:val="Emphasis"/>
    <w:basedOn w:val="Absatz-Standardschriftart"/>
    <w:rPr>
      <w:i/>
      <w:iCs/>
    </w:rPr>
  </w:style>
  <w:style w:type="character" w:customStyle="1" w:styleId="geo-dms">
    <w:name w:val="geo-dms"/>
    <w:basedOn w:val="Absatz-Standardschriftart"/>
  </w:style>
  <w:style w:type="character" w:customStyle="1" w:styleId="latitude">
    <w:name w:val="latitude"/>
    <w:basedOn w:val="Absatz-Standardschriftart"/>
  </w:style>
  <w:style w:type="character" w:customStyle="1" w:styleId="longitude">
    <w:name w:val="longitude"/>
    <w:basedOn w:val="Absatz-Standardschriftart"/>
  </w:style>
  <w:style w:type="character" w:customStyle="1" w:styleId="ListLabel1">
    <w:name w:val="ListLabel 1"/>
    <w:rPr>
      <w:rFonts w:ascii="Arial" w:eastAsia="Arial" w:hAnsi="Arial" w:cs="Arial"/>
      <w:color w:val="663366"/>
      <w:sz w:val="19"/>
      <w:szCs w:val="19"/>
      <w:shd w:val="clear" w:color="auto" w:fill="F8F9FA"/>
    </w:rPr>
  </w:style>
  <w:style w:type="character" w:customStyle="1" w:styleId="ListLabel2">
    <w:name w:val="ListLabel 2"/>
    <w:rPr>
      <w:rFonts w:ascii="Arial" w:eastAsia="Arial" w:hAnsi="Arial" w:cs="Arial"/>
      <w:color w:val="663366"/>
      <w:sz w:val="19"/>
      <w:szCs w:val="19"/>
      <w:shd w:val="clear" w:color="auto" w:fill="F8F9FA"/>
    </w:rPr>
  </w:style>
  <w:style w:type="character" w:customStyle="1" w:styleId="ListLabel3">
    <w:name w:val="ListLabel 3"/>
    <w:rPr>
      <w:rFonts w:ascii="Arial" w:eastAsia="Arial" w:hAnsi="Arial" w:cs="Arial"/>
      <w:color w:val="663366"/>
      <w:sz w:val="19"/>
      <w:szCs w:val="19"/>
      <w:shd w:val="clear" w:color="auto" w:fill="F8F9FA"/>
    </w:rPr>
  </w:style>
  <w:style w:type="numbering" w:customStyle="1" w:styleId="NoList">
    <w:name w:val="No List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wmflabs.org/geohack/geohack.php?pagename=Sabha,_Libya&amp;params=27_02_20_N_14_25_35_E_region:LY_type:city(96872)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tools.wmflabs.org/geohack/geohack.php?pagename=Sabha,_Libya&amp;params=27_02_20_N_14_25_35_E_region:LY_type:city(96872)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ools.wmflabs.org/geohack/geohack.php?pagename=Sabha,_Libya&amp;params=27_02_20_N_14_25_35_E_region:LY_type:city(96872)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 Leitner</dc:creator>
  <cp:lastModifiedBy>Bettina Leitner</cp:lastModifiedBy>
  <cp:revision>2</cp:revision>
  <dcterms:created xsi:type="dcterms:W3CDTF">2020-02-04T07:44:00Z</dcterms:created>
  <dcterms:modified xsi:type="dcterms:W3CDTF">2020-02-04T07:44:00Z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