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D57C38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Claudia Laaber</w:t>
            </w:r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143B4A" w:rsidRPr="001E62F0" w:rsidRDefault="00576C8C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de-DE" w:eastAsia="de-DE"/>
              </w:rPr>
              <w:drawing>
                <wp:inline distT="0" distB="0" distL="0" distR="0">
                  <wp:extent cx="2459261" cy="1844446"/>
                  <wp:effectExtent l="0" t="0" r="5080" b="0"/>
                  <wp:docPr id="1" name="Grafik 1" descr="Ein Bild, das draußen, Himmel, Gebäude, Bode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-20191002-WA0009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703" cy="1862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1E62F0" w:rsidRPr="001E62F0" w:rsidRDefault="00576C8C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Claudia Laaber</w:t>
            </w:r>
            <w:r w:rsidR="00996F39">
              <w:t xml:space="preserve"> ©2019</w:t>
            </w:r>
          </w:p>
        </w:tc>
      </w:tr>
      <w:tr w:rsidR="00FE052A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D57C38" w:rsidP="001E62F0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Jerusalem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(Fuṣḥā</w:t>
            </w:r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6E3060" w:rsidP="001E62F0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Al-Quds</w:t>
            </w:r>
          </w:p>
        </w:tc>
      </w:tr>
      <w:tr w:rsidR="007D6078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(Fuṣḥā</w:t>
            </w:r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6E3060" w:rsidP="006E3060">
            <w:pPr>
              <w:pStyle w:val="locNameFushaAr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القدس</w:t>
            </w:r>
          </w:p>
        </w:tc>
      </w:tr>
      <w:tr w:rsidR="007D6078" w:rsidRPr="00F11FEC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7D6078" w:rsidRPr="003E1BEC" w:rsidRDefault="005A3A7E" w:rsidP="007D6078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6E3060">
              <w:rPr>
                <w:color w:val="000000" w:themeColor="text1"/>
                <w:lang w:val="de-DE"/>
              </w:rPr>
              <w:t>l-ʔuds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7D6078" w:rsidRDefault="00BA653F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31°47’ N</w:t>
            </w:r>
          </w:p>
          <w:p w:rsidR="00BA653F" w:rsidRPr="001E62F0" w:rsidRDefault="00BA653F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35°13’ E</w:t>
            </w:r>
          </w:p>
        </w:tc>
      </w:tr>
      <w:tr w:rsidR="007D6078" w:rsidRPr="005668CA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2B0399" w:rsidRPr="001E62F0" w:rsidRDefault="002B0399" w:rsidP="002B0399">
            <w:pPr>
              <w:pStyle w:val="typolog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East (Mashreq) &gt; Levante&gt; Palestine &gt; Central Palestine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2B0399" w:rsidP="007D6078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</w:rPr>
              <w:t xml:space="preserve">sedentary: urban </w:t>
            </w:r>
          </w:p>
        </w:tc>
      </w:tr>
      <w:tr w:rsidR="007D6078" w:rsidRPr="005668CA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D57C38" w:rsidRDefault="005668CA" w:rsidP="005668CA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Historically</w:t>
            </w:r>
            <w:r w:rsidR="00033DED">
              <w:t xml:space="preserve"> Jerusalem </w:t>
            </w:r>
            <w:r>
              <w:t>has been</w:t>
            </w:r>
            <w:r w:rsidR="00033DED">
              <w:t xml:space="preserve"> an important </w:t>
            </w:r>
            <w:r>
              <w:t>cultural nexus</w:t>
            </w:r>
            <w:r w:rsidR="00033DED">
              <w:t xml:space="preserve"> an</w:t>
            </w:r>
            <w:r w:rsidR="00BA653F">
              <w:t xml:space="preserve">d </w:t>
            </w:r>
            <w:r>
              <w:t xml:space="preserve">is a holy city for three major Abrahamic faiths: Islam, Judaism and Christianity. </w:t>
            </w:r>
          </w:p>
          <w:p w:rsidR="00BA653F" w:rsidRDefault="00033DED" w:rsidP="005668CA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Its historic </w:t>
            </w:r>
            <w:r w:rsidR="005668CA">
              <w:t>and labyrinthine</w:t>
            </w:r>
            <w:r>
              <w:t xml:space="preserve"> </w:t>
            </w:r>
            <w:r w:rsidR="005668CA">
              <w:t>Old Town</w:t>
            </w:r>
            <w:r w:rsidR="00F95529">
              <w:t xml:space="preserve">, </w:t>
            </w:r>
            <w:r w:rsidR="005668CA">
              <w:t>divided into Muslim, Jewish, Arab Christian, and Armenian quarters, includes, on its southeast edge, Temple Mount, one of the most contentious religious sites in the world.</w:t>
            </w:r>
          </w:p>
          <w:p w:rsidR="005668CA" w:rsidRPr="001E62F0" w:rsidRDefault="005668CA" w:rsidP="005668CA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a linguistic viewpoint, Jerusalem offers interesting studies in Arabic and Modern Hebrew.</w:t>
            </w:r>
          </w:p>
        </w:tc>
      </w:tr>
      <w:tr w:rsidR="007D6078" w:rsidRPr="005668CA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EF48AF" w:rsidRDefault="00EF48AF" w:rsidP="00EF48AF">
            <w:pPr>
              <w:pStyle w:val="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first description of Jerusalem Arabic dates back to the beginning of the 20</w:t>
            </w:r>
            <w:r w:rsidRPr="00D57C38">
              <w:rPr>
                <w:vertAlign w:val="superscript"/>
              </w:rPr>
              <w:t>th</w:t>
            </w:r>
            <w:r>
              <w:t xml:space="preserve"> century. Löhr (1905), who worked at the German Protestant Institute for Archaeology in Jerusalem, wrote a detailed grammar with a collection of riddles, poems and a small glossary.</w:t>
            </w:r>
          </w:p>
          <w:p w:rsidR="00EF48AF" w:rsidRDefault="00EF48AF" w:rsidP="005668CA">
            <w:pPr>
              <w:pStyle w:val="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manual for self-instruction by Nasrallah and Spoer (1909) is a short guide for learners containing a glossary, proverbs and a collection of example sentences</w:t>
            </w:r>
            <w:r w:rsidR="00567981">
              <w:t xml:space="preserve"> (</w:t>
            </w:r>
            <w:r w:rsidR="005668CA">
              <w:t>The full text is available on</w:t>
            </w:r>
            <w:r w:rsidR="00567981">
              <w:t xml:space="preserve"> </w:t>
            </w:r>
            <w:hyperlink r:id="rId7" w:history="1">
              <w:r w:rsidR="00567981" w:rsidRPr="003B1916">
                <w:rPr>
                  <w:rStyle w:val="Hyperlink"/>
                </w:rPr>
                <w:t>archive</w:t>
              </w:r>
            </w:hyperlink>
            <w:r w:rsidR="00567981">
              <w:t>)</w:t>
            </w:r>
            <w:r>
              <w:t xml:space="preserve">. Bauer (1910) is a description of urban and rural Palestinian Arabic with a chrestomathy and </w:t>
            </w:r>
            <w:r w:rsidR="005668CA">
              <w:t>practice exercises</w:t>
            </w:r>
            <w:r>
              <w:t>.</w:t>
            </w:r>
          </w:p>
          <w:p w:rsidR="00EF48AF" w:rsidRDefault="00EF48AF" w:rsidP="00EF48AF">
            <w:pPr>
              <w:pStyle w:val="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68CA" w:rsidRDefault="005668CA" w:rsidP="005668CA">
            <w:pPr>
              <w:pStyle w:val="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Moshe Piamenta published an essay on the syntax of Jerusalem Arabic (Piamenta 1966), </w:t>
            </w:r>
            <w:r w:rsidR="00812C55">
              <w:t>an article about the dialects’ lexicon (Piamenta 1979), and a study on its conditional sentences (1991). Piamenta (2000) is an impressive study on Judeo-Jerusalem Arabic, its replacement by Modern Hebrew, and its close ties to non-Jewish Jerusalem Arabic.</w:t>
            </w:r>
          </w:p>
          <w:p w:rsidR="00EF48AF" w:rsidRDefault="00EF48AF" w:rsidP="00EF48AF">
            <w:pPr>
              <w:pStyle w:val="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F48AF" w:rsidRDefault="00EF48AF" w:rsidP="00812C55">
            <w:pPr>
              <w:pStyle w:val="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Spolsky and Cooper (1991) </w:t>
            </w:r>
            <w:r w:rsidR="00812C55">
              <w:t xml:space="preserve">is a diachronic and synchronic sociolinguistic survey of the multilingual situation in Jerusalem. </w:t>
            </w:r>
          </w:p>
          <w:p w:rsidR="002A2C76" w:rsidRDefault="002A2C76" w:rsidP="00EF48AF">
            <w:pPr>
              <w:pStyle w:val="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D6078" w:rsidRDefault="00EF48AF" w:rsidP="00EF48AF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concise linguistic sketch can be found in the EALL (Rosenhouse 2011)</w:t>
            </w:r>
            <w:r w:rsidR="00E86B7B">
              <w:t>.</w:t>
            </w:r>
          </w:p>
          <w:p w:rsidR="00E86B7B" w:rsidRPr="001E62F0" w:rsidRDefault="00E86B7B" w:rsidP="00E86B7B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Shawarbah (2010) is a collection of text samples with a glossary in the end.</w:t>
            </w:r>
          </w:p>
        </w:tc>
      </w:tr>
      <w:tr w:rsidR="007D6078" w:rsidRPr="005668CA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EF48AF" w:rsidRDefault="00EF48AF" w:rsidP="00812C55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Barthélemy </w:t>
            </w:r>
            <w:r w:rsidR="00812C55">
              <w:t>(</w:t>
            </w:r>
            <w:r>
              <w:t>1935</w:t>
            </w:r>
            <w:r w:rsidR="00812C55">
              <w:t>)</w:t>
            </w:r>
            <w:r>
              <w:t xml:space="preserve"> is a French- Arabic dictionary for varieties spoken in the </w:t>
            </w:r>
            <w:r w:rsidR="00812C55">
              <w:t>Levant</w:t>
            </w:r>
            <w:r>
              <w:t xml:space="preserve">. Although the data for this dictionary was mostly collected in Aleppo, it can be considered a useful source for Jerusalem Arabic. </w:t>
            </w:r>
          </w:p>
          <w:p w:rsidR="00EF48AF" w:rsidRDefault="00EF48AF" w:rsidP="00EF48AF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same applies to Denizeau (1960).</w:t>
            </w:r>
          </w:p>
          <w:p w:rsidR="00EF48AF" w:rsidRDefault="00EF48AF" w:rsidP="00EF48AF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Halloun’s (2000) practical English-Arabic dictionary for Palestinian Arabic </w:t>
            </w:r>
            <w:r w:rsidR="00567981">
              <w:t xml:space="preserve">includes various </w:t>
            </w:r>
            <w:r>
              <w:t>examples.</w:t>
            </w:r>
          </w:p>
          <w:p w:rsidR="007D6078" w:rsidRPr="001E62F0" w:rsidRDefault="00EF48AF" w:rsidP="00812C55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Elihai (2004) is an Arabic-English dictionary </w:t>
            </w:r>
            <w:r w:rsidR="00812C55">
              <w:t>of</w:t>
            </w:r>
            <w:r>
              <w:t xml:space="preserve"> urban Palestinian Arabic </w:t>
            </w:r>
            <w:r w:rsidR="00812C55">
              <w:t>with</w:t>
            </w:r>
            <w:r>
              <w:t xml:space="preserve"> example </w:t>
            </w:r>
            <w:r w:rsidR="00567981">
              <w:t xml:space="preserve">phrases and </w:t>
            </w:r>
            <w:r>
              <w:t xml:space="preserve">sentences. </w:t>
            </w:r>
            <w:r w:rsidR="00812C55">
              <w:t>It states if a word is used only in specific cities, and inclues an English-Arabic glossary at the end.</w:t>
            </w:r>
          </w:p>
        </w:tc>
      </w:tr>
      <w:tr w:rsidR="007D6078" w:rsidRPr="005668CA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812C55" w:rsidRDefault="00567981" w:rsidP="00812C55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</w:rPr>
              <w:t xml:space="preserve">Moïn </w:t>
            </w:r>
            <w:r w:rsidR="00EF48AF">
              <w:rPr>
                <w:highlight w:val="white"/>
              </w:rPr>
              <w:t xml:space="preserve">Halloun </w:t>
            </w:r>
            <w:r>
              <w:rPr>
                <w:highlight w:val="white"/>
              </w:rPr>
              <w:t>wrote</w:t>
            </w:r>
            <w:r w:rsidR="00EF48AF">
              <w:rPr>
                <w:highlight w:val="white"/>
              </w:rPr>
              <w:t xml:space="preserve"> textbooks </w:t>
            </w:r>
            <w:r w:rsidR="00812C55">
              <w:rPr>
                <w:highlight w:val="white"/>
              </w:rPr>
              <w:t>focused</w:t>
            </w:r>
            <w:r w:rsidR="00EF48AF">
              <w:rPr>
                <w:highlight w:val="white"/>
              </w:rPr>
              <w:t xml:space="preserve"> on Jerusalem Arabic. Halloun 1988 offers </w:t>
            </w:r>
            <w:r w:rsidR="00812C55">
              <w:rPr>
                <w:highlight w:val="white"/>
              </w:rPr>
              <w:t>numerous</w:t>
            </w:r>
            <w:r w:rsidR="00EF48AF">
              <w:rPr>
                <w:highlight w:val="white"/>
              </w:rPr>
              <w:t xml:space="preserve"> transcribed verb conjugations and a small glossary at the end. Halloun </w:t>
            </w:r>
            <w:r w:rsidR="00812C55">
              <w:rPr>
                <w:highlight w:val="white"/>
              </w:rPr>
              <w:t>(</w:t>
            </w:r>
            <w:r w:rsidR="00EF48AF">
              <w:rPr>
                <w:highlight w:val="white"/>
              </w:rPr>
              <w:t xml:space="preserve">1989,1991) </w:t>
            </w:r>
            <w:r w:rsidR="00812C55">
              <w:rPr>
                <w:highlight w:val="white"/>
              </w:rPr>
              <w:t>is a two-volume textbook with various exercises and transcribed texts. Halloun (2001,2006) has a small collection of texts in Arabic script plus a large collection of transcribed ones.</w:t>
            </w:r>
          </w:p>
          <w:p w:rsidR="00BA653F" w:rsidRPr="001E62F0" w:rsidRDefault="00812C55" w:rsidP="00124312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</w:rPr>
              <w:t xml:space="preserve">A few textbooks on Palestinian Arabic, though not necessarily focusing on Jerusalem Arabic, are available: Elihai (2011) is a complete package on Urban Palestinian Arabic, including textbooks and CDs. Tiedemann (2015) </w:t>
            </w:r>
            <w:r w:rsidR="00124312">
              <w:rPr>
                <w:highlight w:val="white"/>
              </w:rPr>
              <w:t>is</w:t>
            </w:r>
            <w:r>
              <w:rPr>
                <w:highlight w:val="white"/>
              </w:rPr>
              <w:t xml:space="preserve"> a phraseological textbook with 101 verbs</w:t>
            </w:r>
            <w:r w:rsidR="00124312">
              <w:rPr>
                <w:highlight w:val="white"/>
              </w:rPr>
              <w:t>. F</w:t>
            </w:r>
            <w:bookmarkStart w:id="0" w:name="_GoBack"/>
            <w:bookmarkEnd w:id="0"/>
            <w:r w:rsidR="00124312">
              <w:rPr>
                <w:highlight w:val="white"/>
              </w:rPr>
              <w:t>or each verb, he provides</w:t>
            </w:r>
            <w:r>
              <w:rPr>
                <w:highlight w:val="white"/>
              </w:rPr>
              <w:t xml:space="preserve"> numerous </w:t>
            </w:r>
            <w:r w:rsidR="00124312">
              <w:rPr>
                <w:highlight w:val="white"/>
              </w:rPr>
              <w:t>example sentences</w:t>
            </w:r>
            <w:r>
              <w:rPr>
                <w:highlight w:val="white"/>
              </w:rPr>
              <w:t xml:space="preserve"> in Arabic script and recorded on CD.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BA2B20" w:rsidRDefault="00FE052A">
      <w:pPr>
        <w:rPr>
          <w:lang w:val="en-GB"/>
        </w:rPr>
      </w:pPr>
    </w:p>
    <w:sectPr w:rsidR="00FE052A" w:rsidRPr="00BA2B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8A0" w:rsidRDefault="00FF48A0" w:rsidP="00C23E48">
      <w:pPr>
        <w:spacing w:after="0" w:line="240" w:lineRule="auto"/>
      </w:pPr>
      <w:r>
        <w:separator/>
      </w:r>
    </w:p>
  </w:endnote>
  <w:endnote w:type="continuationSeparator" w:id="0">
    <w:p w:rsidR="00FF48A0" w:rsidRDefault="00FF48A0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8A0" w:rsidRDefault="00FF48A0" w:rsidP="00C23E48">
      <w:pPr>
        <w:spacing w:after="0" w:line="240" w:lineRule="auto"/>
      </w:pPr>
      <w:r>
        <w:separator/>
      </w:r>
    </w:p>
  </w:footnote>
  <w:footnote w:type="continuationSeparator" w:id="0">
    <w:p w:rsidR="00FF48A0" w:rsidRDefault="00FF48A0" w:rsidP="00C23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789B"/>
    <w:rsid w:val="00033DED"/>
    <w:rsid w:val="000E6F2D"/>
    <w:rsid w:val="00124312"/>
    <w:rsid w:val="00143966"/>
    <w:rsid w:val="00143B4A"/>
    <w:rsid w:val="001B3C3B"/>
    <w:rsid w:val="001B588D"/>
    <w:rsid w:val="001E62F0"/>
    <w:rsid w:val="00260386"/>
    <w:rsid w:val="002A2C76"/>
    <w:rsid w:val="002B0399"/>
    <w:rsid w:val="002D09A6"/>
    <w:rsid w:val="002D6DC0"/>
    <w:rsid w:val="00302621"/>
    <w:rsid w:val="003328F2"/>
    <w:rsid w:val="00347FFB"/>
    <w:rsid w:val="003541CC"/>
    <w:rsid w:val="00361911"/>
    <w:rsid w:val="003903B4"/>
    <w:rsid w:val="003936A8"/>
    <w:rsid w:val="003B1916"/>
    <w:rsid w:val="003E1BEC"/>
    <w:rsid w:val="00402B7B"/>
    <w:rsid w:val="004A4F96"/>
    <w:rsid w:val="004E7964"/>
    <w:rsid w:val="0056347D"/>
    <w:rsid w:val="005668CA"/>
    <w:rsid w:val="00567981"/>
    <w:rsid w:val="00576C8C"/>
    <w:rsid w:val="005A3A7E"/>
    <w:rsid w:val="005C0928"/>
    <w:rsid w:val="005F6BC2"/>
    <w:rsid w:val="006605DF"/>
    <w:rsid w:val="006974FF"/>
    <w:rsid w:val="006B26BF"/>
    <w:rsid w:val="006C2AC4"/>
    <w:rsid w:val="006E3060"/>
    <w:rsid w:val="0077192B"/>
    <w:rsid w:val="007D6078"/>
    <w:rsid w:val="007F0520"/>
    <w:rsid w:val="00812C55"/>
    <w:rsid w:val="00844D11"/>
    <w:rsid w:val="0089368B"/>
    <w:rsid w:val="008E2D18"/>
    <w:rsid w:val="00996F39"/>
    <w:rsid w:val="00AC797A"/>
    <w:rsid w:val="00B2016B"/>
    <w:rsid w:val="00B27251"/>
    <w:rsid w:val="00B71E16"/>
    <w:rsid w:val="00B94A9C"/>
    <w:rsid w:val="00BA2B20"/>
    <w:rsid w:val="00BA653F"/>
    <w:rsid w:val="00C23E48"/>
    <w:rsid w:val="00C410BC"/>
    <w:rsid w:val="00C777EF"/>
    <w:rsid w:val="00CA7641"/>
    <w:rsid w:val="00D57C38"/>
    <w:rsid w:val="00D917F6"/>
    <w:rsid w:val="00DF1714"/>
    <w:rsid w:val="00E1675F"/>
    <w:rsid w:val="00E2217E"/>
    <w:rsid w:val="00E30FDD"/>
    <w:rsid w:val="00E532AA"/>
    <w:rsid w:val="00E86B7B"/>
    <w:rsid w:val="00E957A5"/>
    <w:rsid w:val="00EF48AF"/>
    <w:rsid w:val="00F06A97"/>
    <w:rsid w:val="00F11FEC"/>
    <w:rsid w:val="00F62ABC"/>
    <w:rsid w:val="00F80204"/>
    <w:rsid w:val="00F95529"/>
    <w:rsid w:val="00FC7A97"/>
    <w:rsid w:val="00FE052A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80A5D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B191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B19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chive.org/details/manualofpalestin00spoeuoft_201701/page/n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2019-12-02T12:41:00Z</dcterms:created>
  <dcterms:modified xsi:type="dcterms:W3CDTF">2020-01-29T08:38:00Z</dcterms:modified>
</cp:coreProperties>
</file>