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16B" w:rsidRDefault="00B2016B" w:rsidP="005F55F1">
      <w:pPr>
        <w:rPr>
          <w:lang w:val="en-GB"/>
        </w:rPr>
      </w:pPr>
      <w:r w:rsidRPr="00BA2B20">
        <w:rPr>
          <w:lang w:val="en-GB"/>
        </w:rPr>
        <w:t>Please fill in the following form. We will convert it into TEI conformant data to put it on the VICAV web</w:t>
      </w:r>
      <w:r w:rsidR="00BA2B20">
        <w:rPr>
          <w:lang w:val="en-GB"/>
        </w:rPr>
        <w:t>s</w:t>
      </w:r>
      <w:r w:rsidRPr="00BA2B20">
        <w:rPr>
          <w:lang w:val="en-GB"/>
        </w:rPr>
        <w:t>ite.</w:t>
      </w:r>
      <w:r w:rsidR="0056347D">
        <w:rPr>
          <w:lang w:val="en-GB"/>
        </w:rPr>
        <w:t xml:space="preserve"> Have a look at previously published examples on the VICAV website.</w:t>
      </w:r>
    </w:p>
    <w:p w:rsidR="005F55F1" w:rsidRPr="00BA2B20" w:rsidRDefault="005F55F1" w:rsidP="005F55F1">
      <w:pPr>
        <w:rPr>
          <w:lang w:val="en-GB"/>
        </w:rPr>
      </w:pPr>
    </w:p>
    <w:tbl>
      <w:tblPr>
        <w:tblStyle w:val="Gitternetztabelle5dunkelAkzent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373"/>
      </w:tblGrid>
      <w:tr w:rsidR="001E62F0" w:rsidRPr="001E62F0" w:rsidTr="001E6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63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1E62F0" w:rsidRPr="001E62F0" w:rsidRDefault="001E62F0" w:rsidP="007D6078">
            <w:pPr>
              <w:pStyle w:val="xmlI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62F0">
              <w:rPr>
                <w:b w:val="0"/>
              </w:rPr>
              <w:t>profile_</w:t>
            </w:r>
            <w:r w:rsidR="007D6078">
              <w:rPr>
                <w:b w:val="0"/>
              </w:rPr>
              <w:t>{location}</w:t>
            </w:r>
            <w:r w:rsidRPr="001E62F0">
              <w:rPr>
                <w:b w:val="0"/>
              </w:rPr>
              <w:t>_01</w:t>
            </w:r>
          </w:p>
        </w:tc>
      </w:tr>
      <w:tr w:rsidR="00FE052A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Author</w:t>
            </w:r>
            <w:r w:rsidR="00BA2B20"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 xml:space="preserve"> of this profile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7B4151" w:rsidP="001E62F0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Claudia </w:t>
            </w:r>
            <w:proofErr w:type="spellStart"/>
            <w:r>
              <w:t>Laaber</w:t>
            </w:r>
            <w:proofErr w:type="spellEnd"/>
          </w:p>
        </w:tc>
      </w:tr>
      <w:tr w:rsidR="00FE052A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6373" w:type="dxa"/>
            <w:shd w:val="clear" w:color="auto" w:fill="auto"/>
          </w:tcPr>
          <w:p w:rsidR="00143B4A" w:rsidRPr="001E62F0" w:rsidRDefault="00143B4A" w:rsidP="001E62F0">
            <w:pPr>
              <w:pStyle w:val="imag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E62F0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6373" w:type="dxa"/>
            <w:shd w:val="clear" w:color="auto" w:fill="auto"/>
          </w:tcPr>
          <w:p w:rsidR="001E62F0" w:rsidRPr="001E62F0" w:rsidRDefault="001E62F0" w:rsidP="007D6078">
            <w:pPr>
              <w:pStyle w:val="imageCopy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052A" w:rsidRPr="001E62F0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(English)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7B4151" w:rsidP="001E62F0">
            <w:pPr>
              <w:pStyle w:val="locNameE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Ramla</w:t>
            </w:r>
            <w:proofErr w:type="spellEnd"/>
          </w:p>
        </w:tc>
      </w:tr>
      <w:tr w:rsidR="00FE052A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 w:rsid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transcription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7B4151" w:rsidP="001E62F0">
            <w:pPr>
              <w:pStyle w:val="locNameFush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ar-Ramla</w:t>
            </w:r>
            <w:proofErr w:type="spellEnd"/>
          </w:p>
        </w:tc>
      </w:tr>
      <w:tr w:rsidR="007D6078" w:rsidRPr="001E62F0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Arabic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:rsidR="007D6078" w:rsidRPr="007B4151" w:rsidRDefault="007B4151" w:rsidP="007B4151">
            <w:pPr>
              <w:pStyle w:val="locNameFushaAr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rFonts w:hint="cs"/>
                <w:rtl/>
              </w:rPr>
              <w:t>الرملة</w:t>
            </w:r>
          </w:p>
        </w:tc>
      </w:tr>
      <w:tr w:rsidR="007D6078" w:rsidRPr="0032019C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6373" w:type="dxa"/>
            <w:shd w:val="clear" w:color="auto" w:fill="auto"/>
          </w:tcPr>
          <w:p w:rsidR="007D6078" w:rsidRPr="003E1BEC" w:rsidRDefault="007B4151" w:rsidP="007D6078">
            <w:pPr>
              <w:pStyle w:val="locNameL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ir-Ramle</w:t>
            </w:r>
            <w:proofErr w:type="spellEnd"/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6373" w:type="dxa"/>
            <w:shd w:val="clear" w:color="auto" w:fill="auto"/>
          </w:tcPr>
          <w:p w:rsidR="007D6078" w:rsidRDefault="00567B82" w:rsidP="007D6078">
            <w:pPr>
              <w:pStyle w:val="ge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31°56’ N</w:t>
            </w:r>
          </w:p>
          <w:p w:rsidR="00567B82" w:rsidRPr="001E62F0" w:rsidRDefault="00567B82" w:rsidP="007D6078">
            <w:pPr>
              <w:pStyle w:val="ge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34°52’ E</w:t>
            </w: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typolog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typologyGe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7D6078" w:rsidRPr="00FA6A2C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6373" w:type="dxa"/>
            <w:shd w:val="clear" w:color="auto" w:fill="auto"/>
          </w:tcPr>
          <w:p w:rsidR="00FA6A2C" w:rsidRDefault="007B4151" w:rsidP="00FA6A2C">
            <w:pPr>
              <w:pStyle w:val="ge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During the reign of the Umayyads </w:t>
            </w:r>
            <w:proofErr w:type="spellStart"/>
            <w:r>
              <w:t>Ramla</w:t>
            </w:r>
            <w:proofErr w:type="spellEnd"/>
            <w:r>
              <w:t xml:space="preserve"> was a prosperous capital of a district within </w:t>
            </w:r>
            <w:proofErr w:type="spellStart"/>
            <w:r>
              <w:t>aš</w:t>
            </w:r>
            <w:r w:rsidR="00CC3DFD">
              <w:t>-Šām</w:t>
            </w:r>
            <w:proofErr w:type="spellEnd"/>
            <w:r w:rsidR="004255AA">
              <w:t xml:space="preserve"> with a multi-ethnic and multireligious population</w:t>
            </w:r>
            <w:r w:rsidR="00FA6A2C">
              <w:t>. The city served as an important educational and cultural centre. Medieval text sources also</w:t>
            </w:r>
            <w:r w:rsidR="005F55F1">
              <w:t xml:space="preserve"> </w:t>
            </w:r>
            <w:r w:rsidR="00FA6A2C">
              <w:t>ment</w:t>
            </w:r>
            <w:r w:rsidR="005F55F1">
              <w:t>ion thriving markets and flourishing commerce as the city was surrounded by orchards providing fruits and vegetables for its inhabitants.</w:t>
            </w:r>
          </w:p>
          <w:p w:rsidR="005F55F1" w:rsidRDefault="005F55F1" w:rsidP="00012FFF">
            <w:pPr>
              <w:pStyle w:val="ge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255AA" w:rsidRDefault="004255AA" w:rsidP="00012FFF">
            <w:pPr>
              <w:pStyle w:val="ge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the 11</w:t>
            </w:r>
            <w:r w:rsidRPr="004255AA">
              <w:rPr>
                <w:vertAlign w:val="superscript"/>
              </w:rPr>
              <w:t>th</w:t>
            </w:r>
            <w:r>
              <w:t xml:space="preserve"> century </w:t>
            </w:r>
            <w:proofErr w:type="spellStart"/>
            <w:r>
              <w:t>Ramla</w:t>
            </w:r>
            <w:proofErr w:type="spellEnd"/>
            <w:r>
              <w:t xml:space="preserve"> suffered severe damages by Bedouin raids and was completely destroyed by </w:t>
            </w:r>
            <w:r w:rsidR="00567B82">
              <w:t>various</w:t>
            </w:r>
            <w:r>
              <w:t xml:space="preserve"> earthquake</w:t>
            </w:r>
            <w:r w:rsidR="00567B82">
              <w:t>s</w:t>
            </w:r>
            <w:r w:rsidR="00012FFF">
              <w:t xml:space="preserve">. Although it was re-established and served as an important centre for Seljuks, </w:t>
            </w:r>
            <w:r w:rsidR="00FA2E53">
              <w:t>Crusaders</w:t>
            </w:r>
            <w:r w:rsidR="00012FFF">
              <w:t>, Fatimids, Mamluks and the Ottomans it never regained its size and prosperity.</w:t>
            </w:r>
          </w:p>
          <w:p w:rsidR="00012FFF" w:rsidRDefault="00012FFF" w:rsidP="00012FFF">
            <w:pPr>
              <w:pStyle w:val="ge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969FA" w:rsidRPr="001E62F0" w:rsidRDefault="00012FFF" w:rsidP="00012FFF">
            <w:pPr>
              <w:pStyle w:val="ge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1948 </w:t>
            </w:r>
            <w:proofErr w:type="spellStart"/>
            <w:r>
              <w:t>Ramla</w:t>
            </w:r>
            <w:proofErr w:type="spellEnd"/>
            <w:r>
              <w:t xml:space="preserve"> was occupied by Israeli forces and most of its original Arab population </w:t>
            </w:r>
            <w:r w:rsidR="00FA6A2C">
              <w:t>was forced to leave the city</w:t>
            </w:r>
            <w:r>
              <w:t>. Nowadays only a small Arab community</w:t>
            </w:r>
            <w:r w:rsidR="00FA2E53">
              <w:t xml:space="preserve"> remained in </w:t>
            </w:r>
            <w:proofErr w:type="spellStart"/>
            <w:r w:rsidR="00FA2E53">
              <w:t>Ramla</w:t>
            </w:r>
            <w:proofErr w:type="spellEnd"/>
            <w:r>
              <w:t>.</w:t>
            </w:r>
          </w:p>
        </w:tc>
      </w:tr>
      <w:tr w:rsidR="007D6078" w:rsidRPr="00FA2E53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Research history</w:t>
            </w:r>
          </w:p>
        </w:tc>
        <w:tc>
          <w:tcPr>
            <w:tcW w:w="6373" w:type="dxa"/>
            <w:shd w:val="clear" w:color="auto" w:fill="auto"/>
          </w:tcPr>
          <w:p w:rsidR="0032019C" w:rsidRDefault="0032019C" w:rsidP="0032019C">
            <w:pPr>
              <w:pStyle w:val="ge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Werner (2004) </w:t>
            </w:r>
            <w:r w:rsidR="00012FFF">
              <w:t xml:space="preserve">gives </w:t>
            </w:r>
            <w:r w:rsidR="00FA6A2C">
              <w:t>an</w:t>
            </w:r>
            <w:r>
              <w:t xml:space="preserve"> insight on the phonology and morphology of </w:t>
            </w:r>
            <w:r w:rsidR="00012FFF">
              <w:t xml:space="preserve">the </w:t>
            </w:r>
            <w:r>
              <w:t xml:space="preserve">dialects spoken in </w:t>
            </w:r>
            <w:proofErr w:type="spellStart"/>
            <w:r>
              <w:t>Yaffa</w:t>
            </w:r>
            <w:proofErr w:type="spellEnd"/>
            <w:r>
              <w:t xml:space="preserve"> and </w:t>
            </w:r>
            <w:r w:rsidR="00012FFF">
              <w:t>its surrounding villages</w:t>
            </w:r>
            <w:r>
              <w:t xml:space="preserve"> </w:t>
            </w:r>
            <w:r w:rsidR="00012FFF">
              <w:t xml:space="preserve">including information on the </w:t>
            </w:r>
            <w:r w:rsidR="00FA2E53">
              <w:t xml:space="preserve">variety in </w:t>
            </w:r>
            <w:proofErr w:type="spellStart"/>
            <w:r w:rsidR="00FA2E53">
              <w:t>Ramla</w:t>
            </w:r>
            <w:proofErr w:type="spellEnd"/>
            <w:r w:rsidR="00FA2E53">
              <w:t xml:space="preserve">. </w:t>
            </w:r>
          </w:p>
          <w:p w:rsidR="007D6078" w:rsidRPr="001E62F0" w:rsidRDefault="0032019C" w:rsidP="0032019C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Werner (2004) is a collection of </w:t>
            </w:r>
            <w:r w:rsidR="00FA2E53">
              <w:t>four</w:t>
            </w:r>
            <w:r>
              <w:t xml:space="preserve"> short humorous </w:t>
            </w:r>
            <w:r w:rsidR="00012FFF">
              <w:t>anecdotes</w:t>
            </w:r>
            <w:r>
              <w:t xml:space="preserve"> with German translations.</w:t>
            </w: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Dictionaries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dic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textbook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aud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  <w:bottom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</w:tbl>
    <w:p w:rsidR="00FE052A" w:rsidRDefault="00FE052A">
      <w:pPr>
        <w:rPr>
          <w:lang w:val="en-GB"/>
        </w:rPr>
      </w:pPr>
    </w:p>
    <w:p w:rsidR="005F55F1" w:rsidRPr="005F55F1" w:rsidRDefault="005F55F1" w:rsidP="005F55F1">
      <w:pPr>
        <w:spacing w:after="0" w:line="240" w:lineRule="auto"/>
        <w:ind w:hanging="480"/>
        <w:rPr>
          <w:rFonts w:ascii="-webkit-standard" w:eastAsia="Times New Roman" w:hAnsi="-webkit-standard" w:cs="Times New Roman"/>
          <w:color w:val="000000"/>
          <w:sz w:val="24"/>
          <w:szCs w:val="24"/>
          <w:lang w:val="de-AT" w:eastAsia="de-DE"/>
        </w:rPr>
      </w:pPr>
      <w:r w:rsidRPr="005F55F1">
        <w:rPr>
          <w:rFonts w:ascii="-webkit-standard" w:eastAsia="Times New Roman" w:hAnsi="-webkit-standard" w:cs="Times New Roman"/>
          <w:color w:val="000000"/>
          <w:sz w:val="24"/>
          <w:szCs w:val="24"/>
          <w:lang w:val="de-AT" w:eastAsia="de-DE"/>
        </w:rPr>
        <w:lastRenderedPageBreak/>
        <w:t xml:space="preserve">Arnold, Werner. „Die arabischen Dialekte von </w:t>
      </w:r>
      <w:proofErr w:type="spellStart"/>
      <w:r w:rsidRPr="005F55F1">
        <w:rPr>
          <w:rFonts w:ascii="-webkit-standard" w:eastAsia="Times New Roman" w:hAnsi="-webkit-standard" w:cs="Times New Roman"/>
          <w:color w:val="000000"/>
          <w:sz w:val="24"/>
          <w:szCs w:val="24"/>
          <w:lang w:val="de-AT" w:eastAsia="de-DE"/>
        </w:rPr>
        <w:t>Jaffa</w:t>
      </w:r>
      <w:proofErr w:type="spellEnd"/>
      <w:r w:rsidRPr="005F55F1">
        <w:rPr>
          <w:rFonts w:ascii="-webkit-standard" w:eastAsia="Times New Roman" w:hAnsi="-webkit-standard" w:cs="Times New Roman"/>
          <w:color w:val="000000"/>
          <w:sz w:val="24"/>
          <w:szCs w:val="24"/>
          <w:lang w:val="de-AT" w:eastAsia="de-DE"/>
        </w:rPr>
        <w:t xml:space="preserve"> und Umgebung“. </w:t>
      </w:r>
      <w:r w:rsidRPr="005F55F1">
        <w:rPr>
          <w:rFonts w:ascii="-webkit-standard" w:eastAsia="Times New Roman" w:hAnsi="-webkit-standard" w:cs="Times New Roman"/>
          <w:color w:val="000000"/>
          <w:sz w:val="24"/>
          <w:szCs w:val="24"/>
          <w:lang w:val="en-US" w:eastAsia="de-DE"/>
        </w:rPr>
        <w:t>In </w:t>
      </w:r>
      <w:r w:rsidRPr="005F55F1">
        <w:rPr>
          <w:rFonts w:ascii="-webkit-standard" w:eastAsia="Times New Roman" w:hAnsi="-webkit-standard" w:cs="Times New Roman"/>
          <w:i/>
          <w:iCs/>
          <w:color w:val="000000"/>
          <w:sz w:val="24"/>
          <w:szCs w:val="24"/>
          <w:lang w:val="en-US" w:eastAsia="de-DE"/>
        </w:rPr>
        <w:t xml:space="preserve">Approaches to Arabic Dialects. A Collection of Articles Presented to Manfred </w:t>
      </w:r>
      <w:proofErr w:type="spellStart"/>
      <w:r w:rsidRPr="005F55F1">
        <w:rPr>
          <w:rFonts w:ascii="-webkit-standard" w:eastAsia="Times New Roman" w:hAnsi="-webkit-standard" w:cs="Times New Roman"/>
          <w:i/>
          <w:iCs/>
          <w:color w:val="000000"/>
          <w:sz w:val="24"/>
          <w:szCs w:val="24"/>
          <w:lang w:val="en-US" w:eastAsia="de-DE"/>
        </w:rPr>
        <w:t>Woidich</w:t>
      </w:r>
      <w:proofErr w:type="spellEnd"/>
      <w:r w:rsidRPr="005F55F1">
        <w:rPr>
          <w:rFonts w:ascii="-webkit-standard" w:eastAsia="Times New Roman" w:hAnsi="-webkit-standard" w:cs="Times New Roman"/>
          <w:i/>
          <w:iCs/>
          <w:color w:val="000000"/>
          <w:sz w:val="24"/>
          <w:szCs w:val="24"/>
          <w:lang w:val="en-US" w:eastAsia="de-DE"/>
        </w:rPr>
        <w:t xml:space="preserve"> on the Occasion of his Sixtieth Birthday</w:t>
      </w:r>
      <w:r w:rsidRPr="005F55F1">
        <w:rPr>
          <w:rFonts w:ascii="-webkit-standard" w:eastAsia="Times New Roman" w:hAnsi="-webkit-standard" w:cs="Times New Roman"/>
          <w:color w:val="000000"/>
          <w:sz w:val="24"/>
          <w:szCs w:val="24"/>
          <w:lang w:val="en-US" w:eastAsia="de-DE"/>
        </w:rPr>
        <w:t xml:space="preserve">, </w:t>
      </w:r>
      <w:proofErr w:type="spellStart"/>
      <w:r w:rsidRPr="005F55F1">
        <w:rPr>
          <w:rFonts w:ascii="-webkit-standard" w:eastAsia="Times New Roman" w:hAnsi="-webkit-standard" w:cs="Times New Roman"/>
          <w:color w:val="000000"/>
          <w:sz w:val="24"/>
          <w:szCs w:val="24"/>
          <w:lang w:val="en-US" w:eastAsia="de-DE"/>
        </w:rPr>
        <w:t>herausgegeben</w:t>
      </w:r>
      <w:proofErr w:type="spellEnd"/>
      <w:r w:rsidRPr="005F55F1">
        <w:rPr>
          <w:rFonts w:ascii="-webkit-standard" w:eastAsia="Times New Roman" w:hAnsi="-webkit-standard" w:cs="Times New Roman"/>
          <w:color w:val="000000"/>
          <w:sz w:val="24"/>
          <w:szCs w:val="24"/>
          <w:lang w:val="en-US" w:eastAsia="de-DE"/>
        </w:rPr>
        <w:t xml:space="preserve"> von Martine </w:t>
      </w:r>
      <w:proofErr w:type="spellStart"/>
      <w:r w:rsidRPr="005F55F1">
        <w:rPr>
          <w:rFonts w:ascii="-webkit-standard" w:eastAsia="Times New Roman" w:hAnsi="-webkit-standard" w:cs="Times New Roman"/>
          <w:color w:val="000000"/>
          <w:sz w:val="24"/>
          <w:szCs w:val="24"/>
          <w:lang w:val="en-US" w:eastAsia="de-DE"/>
        </w:rPr>
        <w:t>Haak</w:t>
      </w:r>
      <w:proofErr w:type="spellEnd"/>
      <w:r w:rsidRPr="005F55F1">
        <w:rPr>
          <w:rFonts w:ascii="-webkit-standard" w:eastAsia="Times New Roman" w:hAnsi="-webkit-standard" w:cs="Times New Roman"/>
          <w:color w:val="000000"/>
          <w:sz w:val="24"/>
          <w:szCs w:val="24"/>
          <w:lang w:val="en-US" w:eastAsia="de-DE"/>
        </w:rPr>
        <w:t xml:space="preserve">, Rudolf De Jong, und </w:t>
      </w:r>
      <w:proofErr w:type="spellStart"/>
      <w:r w:rsidRPr="005F55F1">
        <w:rPr>
          <w:rFonts w:ascii="-webkit-standard" w:eastAsia="Times New Roman" w:hAnsi="-webkit-standard" w:cs="Times New Roman"/>
          <w:color w:val="000000"/>
          <w:sz w:val="24"/>
          <w:szCs w:val="24"/>
          <w:lang w:val="en-US" w:eastAsia="de-DE"/>
        </w:rPr>
        <w:t>Kees</w:t>
      </w:r>
      <w:proofErr w:type="spellEnd"/>
      <w:r w:rsidRPr="005F55F1">
        <w:rPr>
          <w:rFonts w:ascii="-webkit-standard" w:eastAsia="Times New Roman" w:hAnsi="-webkit-standard" w:cs="Times New Roman"/>
          <w:color w:val="000000"/>
          <w:sz w:val="24"/>
          <w:szCs w:val="24"/>
          <w:lang w:val="en-US" w:eastAsia="de-DE"/>
        </w:rPr>
        <w:t xml:space="preserve"> </w:t>
      </w:r>
      <w:proofErr w:type="spellStart"/>
      <w:r w:rsidRPr="005F55F1">
        <w:rPr>
          <w:rFonts w:ascii="-webkit-standard" w:eastAsia="Times New Roman" w:hAnsi="-webkit-standard" w:cs="Times New Roman"/>
          <w:color w:val="000000"/>
          <w:sz w:val="24"/>
          <w:szCs w:val="24"/>
          <w:lang w:val="en-US" w:eastAsia="de-DE"/>
        </w:rPr>
        <w:t>Versteegh</w:t>
      </w:r>
      <w:proofErr w:type="spellEnd"/>
      <w:r w:rsidRPr="005F55F1">
        <w:rPr>
          <w:rFonts w:ascii="-webkit-standard" w:eastAsia="Times New Roman" w:hAnsi="-webkit-standard" w:cs="Times New Roman"/>
          <w:color w:val="000000"/>
          <w:sz w:val="24"/>
          <w:szCs w:val="24"/>
          <w:lang w:val="en-US" w:eastAsia="de-DE"/>
        </w:rPr>
        <w:t xml:space="preserve">, 33–46. </w:t>
      </w:r>
      <w:r w:rsidRPr="005F55F1">
        <w:rPr>
          <w:rFonts w:ascii="-webkit-standard" w:eastAsia="Times New Roman" w:hAnsi="-webkit-standard" w:cs="Times New Roman"/>
          <w:color w:val="000000"/>
          <w:sz w:val="24"/>
          <w:szCs w:val="24"/>
          <w:lang w:val="de-AT" w:eastAsia="de-DE"/>
        </w:rPr>
        <w:t>Leiden: Brill, 2004.</w:t>
      </w:r>
    </w:p>
    <w:p w:rsidR="005F55F1" w:rsidRPr="005F55F1" w:rsidRDefault="005F55F1" w:rsidP="005F55F1">
      <w:pPr>
        <w:spacing w:after="0" w:line="240" w:lineRule="auto"/>
        <w:ind w:hanging="480"/>
        <w:rPr>
          <w:rFonts w:ascii="-webkit-standard" w:eastAsia="Times New Roman" w:hAnsi="-webkit-standard" w:cs="Times New Roman"/>
          <w:color w:val="000000"/>
          <w:sz w:val="24"/>
          <w:szCs w:val="24"/>
          <w:lang w:val="de-AT" w:eastAsia="de-DE"/>
        </w:rPr>
      </w:pPr>
      <w:r w:rsidRPr="005F55F1">
        <w:rPr>
          <w:rFonts w:ascii="-webkit-standard" w:eastAsia="Times New Roman" w:hAnsi="-webkit-standard" w:cs="Times New Roman"/>
          <w:color w:val="000000"/>
          <w:sz w:val="24"/>
          <w:szCs w:val="24"/>
          <w:lang w:val="de-AT" w:eastAsia="de-DE"/>
        </w:rPr>
        <w:t xml:space="preserve">———. „Liebe, Ehe und Familienleben im arabischen Witz. Vier Texte im arabischen Dialekt von </w:t>
      </w:r>
      <w:proofErr w:type="spellStart"/>
      <w:r w:rsidRPr="005F55F1">
        <w:rPr>
          <w:rFonts w:ascii="-webkit-standard" w:eastAsia="Times New Roman" w:hAnsi="-webkit-standard" w:cs="Times New Roman"/>
          <w:color w:val="000000"/>
          <w:sz w:val="24"/>
          <w:szCs w:val="24"/>
          <w:lang w:val="de-AT" w:eastAsia="de-DE"/>
        </w:rPr>
        <w:t>ir-Ramle</w:t>
      </w:r>
      <w:proofErr w:type="spellEnd"/>
      <w:r w:rsidRPr="005F55F1">
        <w:rPr>
          <w:rFonts w:ascii="-webkit-standard" w:eastAsia="Times New Roman" w:hAnsi="-webkit-standard" w:cs="Times New Roman"/>
          <w:color w:val="000000"/>
          <w:sz w:val="24"/>
          <w:szCs w:val="24"/>
          <w:lang w:val="de-AT" w:eastAsia="de-DE"/>
        </w:rPr>
        <w:t xml:space="preserve"> (Israel)“. </w:t>
      </w:r>
      <w:proofErr w:type="spellStart"/>
      <w:r w:rsidRPr="005F55F1">
        <w:rPr>
          <w:rFonts w:ascii="-webkit-standard" w:eastAsia="Times New Roman" w:hAnsi="-webkit-standard" w:cs="Times New Roman"/>
          <w:i/>
          <w:iCs/>
          <w:color w:val="000000"/>
          <w:sz w:val="24"/>
          <w:szCs w:val="24"/>
          <w:lang w:val="de-AT" w:eastAsia="de-DE"/>
        </w:rPr>
        <w:t>Estudios</w:t>
      </w:r>
      <w:proofErr w:type="spellEnd"/>
      <w:r w:rsidRPr="005F55F1">
        <w:rPr>
          <w:rFonts w:ascii="-webkit-standard" w:eastAsia="Times New Roman" w:hAnsi="-webkit-standard" w:cs="Times New Roman"/>
          <w:i/>
          <w:iCs/>
          <w:color w:val="000000"/>
          <w:sz w:val="24"/>
          <w:szCs w:val="24"/>
          <w:lang w:val="de-AT" w:eastAsia="de-DE"/>
        </w:rPr>
        <w:t xml:space="preserve"> de </w:t>
      </w:r>
      <w:proofErr w:type="spellStart"/>
      <w:r w:rsidRPr="005F55F1">
        <w:rPr>
          <w:rFonts w:ascii="-webkit-standard" w:eastAsia="Times New Roman" w:hAnsi="-webkit-standard" w:cs="Times New Roman"/>
          <w:i/>
          <w:iCs/>
          <w:color w:val="000000"/>
          <w:sz w:val="24"/>
          <w:szCs w:val="24"/>
          <w:lang w:val="de-AT" w:eastAsia="de-DE"/>
        </w:rPr>
        <w:t>Dialectología</w:t>
      </w:r>
      <w:proofErr w:type="spellEnd"/>
      <w:r w:rsidRPr="005F55F1">
        <w:rPr>
          <w:rFonts w:ascii="-webkit-standard" w:eastAsia="Times New Roman" w:hAnsi="-webkit-standard" w:cs="Times New Roman"/>
          <w:i/>
          <w:iCs/>
          <w:color w:val="000000"/>
          <w:sz w:val="24"/>
          <w:szCs w:val="24"/>
          <w:lang w:val="de-AT" w:eastAsia="de-DE"/>
        </w:rPr>
        <w:t xml:space="preserve"> </w:t>
      </w:r>
      <w:proofErr w:type="spellStart"/>
      <w:r w:rsidRPr="005F55F1">
        <w:rPr>
          <w:rFonts w:ascii="-webkit-standard" w:eastAsia="Times New Roman" w:hAnsi="-webkit-standard" w:cs="Times New Roman"/>
          <w:i/>
          <w:iCs/>
          <w:color w:val="000000"/>
          <w:sz w:val="24"/>
          <w:szCs w:val="24"/>
          <w:lang w:val="de-AT" w:eastAsia="de-DE"/>
        </w:rPr>
        <w:t>Norteafricana</w:t>
      </w:r>
      <w:proofErr w:type="spellEnd"/>
      <w:r w:rsidRPr="005F55F1">
        <w:rPr>
          <w:rFonts w:ascii="-webkit-standard" w:eastAsia="Times New Roman" w:hAnsi="-webkit-standard" w:cs="Times New Roman"/>
          <w:i/>
          <w:iCs/>
          <w:color w:val="000000"/>
          <w:sz w:val="24"/>
          <w:szCs w:val="24"/>
          <w:lang w:val="de-AT" w:eastAsia="de-DE"/>
        </w:rPr>
        <w:t xml:space="preserve"> y </w:t>
      </w:r>
      <w:proofErr w:type="spellStart"/>
      <w:r w:rsidRPr="005F55F1">
        <w:rPr>
          <w:rFonts w:ascii="-webkit-standard" w:eastAsia="Times New Roman" w:hAnsi="-webkit-standard" w:cs="Times New Roman"/>
          <w:i/>
          <w:iCs/>
          <w:color w:val="000000"/>
          <w:sz w:val="24"/>
          <w:szCs w:val="24"/>
          <w:lang w:val="de-AT" w:eastAsia="de-DE"/>
        </w:rPr>
        <w:t>Andalusí</w:t>
      </w:r>
      <w:proofErr w:type="spellEnd"/>
      <w:r w:rsidRPr="005F55F1">
        <w:rPr>
          <w:rFonts w:ascii="-webkit-standard" w:eastAsia="Times New Roman" w:hAnsi="-webkit-standard" w:cs="Times New Roman"/>
          <w:color w:val="000000"/>
          <w:sz w:val="24"/>
          <w:szCs w:val="24"/>
          <w:lang w:val="de-AT" w:eastAsia="de-DE"/>
        </w:rPr>
        <w:t> 8 (2004): 27–31.</w:t>
      </w:r>
    </w:p>
    <w:p w:rsidR="005F55F1" w:rsidRPr="00BA2B20" w:rsidRDefault="005F55F1">
      <w:pPr>
        <w:rPr>
          <w:lang w:val="en-GB"/>
        </w:rPr>
      </w:pPr>
    </w:p>
    <w:sectPr w:rsidR="005F55F1" w:rsidRPr="00BA2B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3D3" w:rsidRDefault="002C03D3" w:rsidP="00C23E48">
      <w:pPr>
        <w:spacing w:after="0" w:line="240" w:lineRule="auto"/>
      </w:pPr>
      <w:r>
        <w:separator/>
      </w:r>
    </w:p>
  </w:endnote>
  <w:endnote w:type="continuationSeparator" w:id="0">
    <w:p w:rsidR="002C03D3" w:rsidRDefault="002C03D3" w:rsidP="00C2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3E48" w:rsidRDefault="00C23E4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3E48" w:rsidRDefault="00C23E4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3E48" w:rsidRDefault="00C23E4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3D3" w:rsidRDefault="002C03D3" w:rsidP="00C23E48">
      <w:pPr>
        <w:spacing w:after="0" w:line="240" w:lineRule="auto"/>
      </w:pPr>
      <w:r>
        <w:separator/>
      </w:r>
    </w:p>
  </w:footnote>
  <w:footnote w:type="continuationSeparator" w:id="0">
    <w:p w:rsidR="002C03D3" w:rsidRDefault="002C03D3" w:rsidP="00C2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3E48" w:rsidRDefault="00C23E4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3E48" w:rsidRDefault="00C23E4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3E48" w:rsidRDefault="00C23E4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DC0"/>
    <w:rsid w:val="00012FFF"/>
    <w:rsid w:val="0001789B"/>
    <w:rsid w:val="000E6F2D"/>
    <w:rsid w:val="0010335B"/>
    <w:rsid w:val="00143966"/>
    <w:rsid w:val="00143B4A"/>
    <w:rsid w:val="001B3C3B"/>
    <w:rsid w:val="001B588D"/>
    <w:rsid w:val="001E62F0"/>
    <w:rsid w:val="00260386"/>
    <w:rsid w:val="002969FA"/>
    <w:rsid w:val="002C03D3"/>
    <w:rsid w:val="002D09A6"/>
    <w:rsid w:val="002D6DC0"/>
    <w:rsid w:val="0032019C"/>
    <w:rsid w:val="003328F2"/>
    <w:rsid w:val="00347FFB"/>
    <w:rsid w:val="003541CC"/>
    <w:rsid w:val="00361911"/>
    <w:rsid w:val="003903B4"/>
    <w:rsid w:val="003E1BEC"/>
    <w:rsid w:val="004255AA"/>
    <w:rsid w:val="00484C9C"/>
    <w:rsid w:val="004A4F96"/>
    <w:rsid w:val="0056347D"/>
    <w:rsid w:val="00567B82"/>
    <w:rsid w:val="005C0928"/>
    <w:rsid w:val="005F55F1"/>
    <w:rsid w:val="006974FF"/>
    <w:rsid w:val="006B26BF"/>
    <w:rsid w:val="006C2AC4"/>
    <w:rsid w:val="0075726F"/>
    <w:rsid w:val="0077192B"/>
    <w:rsid w:val="007B4151"/>
    <w:rsid w:val="007D6078"/>
    <w:rsid w:val="007F0520"/>
    <w:rsid w:val="00844D11"/>
    <w:rsid w:val="0089368B"/>
    <w:rsid w:val="00AC797A"/>
    <w:rsid w:val="00B2016B"/>
    <w:rsid w:val="00B71E16"/>
    <w:rsid w:val="00B94A9C"/>
    <w:rsid w:val="00BA2B20"/>
    <w:rsid w:val="00C23E48"/>
    <w:rsid w:val="00C777EF"/>
    <w:rsid w:val="00CA7641"/>
    <w:rsid w:val="00CC3DFD"/>
    <w:rsid w:val="00DF1714"/>
    <w:rsid w:val="00E2217E"/>
    <w:rsid w:val="00E532AA"/>
    <w:rsid w:val="00E957A5"/>
    <w:rsid w:val="00F06A97"/>
    <w:rsid w:val="00F62ABC"/>
    <w:rsid w:val="00F80204"/>
    <w:rsid w:val="00FA2E53"/>
    <w:rsid w:val="00FA6A2C"/>
    <w:rsid w:val="00FC7A97"/>
    <w:rsid w:val="00F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4F9F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41">
    <w:name w:val="Gitternetztabelle 5 dunkel  – Akzent 41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E48"/>
  </w:style>
  <w:style w:type="paragraph" w:styleId="Fuzeile">
    <w:name w:val="footer"/>
    <w:basedOn w:val="Standard"/>
    <w:link w:val="Fu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E48"/>
  </w:style>
  <w:style w:type="paragraph" w:styleId="Literaturverzeichnis">
    <w:name w:val="Bibliography"/>
    <w:basedOn w:val="Standard"/>
    <w:next w:val="Standard"/>
    <w:uiPriority w:val="37"/>
    <w:semiHidden/>
    <w:unhideWhenUsed/>
    <w:rsid w:val="00E957A5"/>
  </w:style>
  <w:style w:type="paragraph" w:customStyle="1" w:styleId="xmlID">
    <w:name w:val="xmlID"/>
    <w:basedOn w:val="Standard"/>
    <w:qFormat/>
    <w:rsid w:val="001E62F0"/>
    <w:pPr>
      <w:spacing w:after="0" w:line="240" w:lineRule="auto"/>
    </w:pPr>
    <w:rPr>
      <w:rFonts w:asciiTheme="minorBidi" w:hAnsiTheme="minorBidi"/>
      <w:bCs/>
      <w:color w:val="000000" w:themeColor="text1"/>
      <w:sz w:val="24"/>
      <w:szCs w:val="24"/>
      <w:lang w:val="en-GB"/>
    </w:rPr>
  </w:style>
  <w:style w:type="paragraph" w:customStyle="1" w:styleId="author">
    <w:name w:val="author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paragraph" w:customStyle="1" w:styleId="imageCopyright">
    <w:name w:val="imageCopyright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character" w:styleId="Hyperlink">
    <w:name w:val="Hyperlink"/>
    <w:basedOn w:val="Absatz-Standardschriftart"/>
    <w:uiPriority w:val="99"/>
    <w:unhideWhenUsed/>
    <w:rsid w:val="001E62F0"/>
    <w:rPr>
      <w:color w:val="0563C1" w:themeColor="hyperlink"/>
      <w:u w:val="single"/>
    </w:rPr>
  </w:style>
  <w:style w:type="paragraph" w:customStyle="1" w:styleId="image">
    <w:name w:val="image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">
    <w:name w:val="locNameFusha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Ar">
    <w:name w:val="locNameFushaAr"/>
    <w:basedOn w:val="Standard"/>
    <w:qFormat/>
    <w:rsid w:val="001E62F0"/>
    <w:pPr>
      <w:spacing w:before="100" w:beforeAutospacing="1" w:after="100" w:afterAutospacing="1" w:line="240" w:lineRule="auto"/>
      <w:outlineLvl w:val="0"/>
    </w:pPr>
    <w:rPr>
      <w:rFonts w:asciiTheme="minorBidi" w:eastAsia="Times New Roman" w:hAnsiTheme="minorBidi"/>
      <w:bCs/>
      <w:kern w:val="36"/>
      <w:sz w:val="24"/>
      <w:szCs w:val="24"/>
      <w:lang w:eastAsia="de-DE"/>
    </w:rPr>
  </w:style>
  <w:style w:type="paragraph" w:customStyle="1" w:styleId="locNameLoc">
    <w:name w:val="locNameLoc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geo">
    <w:name w:val="ge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typology">
    <w:name w:val="typolog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gen">
    <w:name w:val="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dicts">
    <w:name w:val="dict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audio">
    <w:name w:val="audi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qFormat/>
    <w:rsid w:val="000E6F2D"/>
    <w:pPr>
      <w:spacing w:after="0" w:line="240" w:lineRule="auto"/>
    </w:pPr>
    <w:rPr>
      <w:lang w:val="en-GB"/>
    </w:rPr>
  </w:style>
  <w:style w:type="character" w:customStyle="1" w:styleId="apple-converted-space">
    <w:name w:val="apple-converted-space"/>
    <w:basedOn w:val="Absatz-Standardschriftart"/>
    <w:rsid w:val="005F5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5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2018-05-02T08:20:00Z</dcterms:created>
  <dcterms:modified xsi:type="dcterms:W3CDTF">2020-04-08T10:54:00Z</dcterms:modified>
</cp:coreProperties>
</file>