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47" w:rsidRDefault="00841B3C">
      <w:pPr>
        <w:rPr>
          <w:lang w:val="en-GB"/>
        </w:rPr>
      </w:pPr>
      <w:r>
        <w:rPr>
          <w:lang w:val="en-GB"/>
        </w:rPr>
        <w:t>Please fill in the following form. We will convert it into TEI conformant data to put it on the VICAV website. Have a look at previously published examples on the VICAV website.</w:t>
      </w:r>
    </w:p>
    <w:p w:rsidR="006E7A47" w:rsidRDefault="006E7A47">
      <w:pPr>
        <w:rPr>
          <w:lang w:val="en-GB"/>
        </w:rPr>
      </w:pPr>
    </w:p>
    <w:tbl>
      <w:tblPr>
        <w:tblW w:w="90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2659"/>
        <w:gridCol w:w="6403"/>
      </w:tblGrid>
      <w:tr w:rsidR="006E7A47">
        <w:tc>
          <w:tcPr>
            <w:tcW w:w="2659"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ID</w:t>
            </w:r>
          </w:p>
        </w:tc>
        <w:tc>
          <w:tcPr>
            <w:tcW w:w="6403" w:type="dxa"/>
            <w:tcBorders>
              <w:top w:val="single" w:sz="4" w:space="0" w:color="FFFFFF"/>
              <w:left w:val="single" w:sz="4" w:space="0" w:color="FFFFFF"/>
              <w:right w:val="single" w:sz="4" w:space="0" w:color="FFFFFF"/>
            </w:tcBorders>
            <w:shd w:val="clear" w:color="auto" w:fill="FFFFFF"/>
            <w:tcMar>
              <w:left w:w="103" w:type="dxa"/>
            </w:tcMar>
          </w:tcPr>
          <w:p w:rsidR="006E7A47" w:rsidRDefault="00841B3C">
            <w:pPr>
              <w:pStyle w:val="xmlID"/>
              <w:rPr>
                <w:color w:val="FFFFFF"/>
              </w:rPr>
            </w:pPr>
            <w:r>
              <w:rPr>
                <w:color w:val="FFFFFF"/>
              </w:rPr>
              <w:t>profile_{location}_01</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Author of this profile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author"/>
              <w:rPr>
                <w:sz w:val="28"/>
                <w:szCs w:val="28"/>
              </w:rPr>
            </w:pPr>
            <w:r>
              <w:rPr>
                <w:sz w:val="28"/>
                <w:szCs w:val="28"/>
              </w:rPr>
              <w:t xml:space="preserve">Aleksandra </w:t>
            </w:r>
            <w:proofErr w:type="spellStart"/>
            <w:r>
              <w:rPr>
                <w:sz w:val="28"/>
                <w:szCs w:val="28"/>
              </w:rPr>
              <w:t>Ercegovčević</w:t>
            </w:r>
            <w:proofErr w:type="spellEnd"/>
            <w:r>
              <w:rPr>
                <w:sz w:val="28"/>
                <w:szCs w:val="28"/>
              </w:rPr>
              <w:t xml:space="preserve"> </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
            </w:pPr>
            <w:r>
              <w:rPr>
                <w:noProof/>
                <w:lang w:val="de-DE" w:eastAsia="de-DE"/>
              </w:rPr>
              <w:drawing>
                <wp:inline distT="0" distB="101600" distL="0" distR="0">
                  <wp:extent cx="3928110" cy="261810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7"/>
                          <a:stretch>
                            <a:fillRect/>
                          </a:stretch>
                        </pic:blipFill>
                        <pic:spPr bwMode="auto">
                          <a:xfrm>
                            <a:off x="0" y="0"/>
                            <a:ext cx="3928110" cy="2618105"/>
                          </a:xfrm>
                          <a:prstGeom prst="rect">
                            <a:avLst/>
                          </a:prstGeom>
                        </pic:spPr>
                      </pic:pic>
                    </a:graphicData>
                  </a:graphic>
                </wp:inline>
              </w:drawing>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Copyright of 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Copyright"/>
            </w:pPr>
            <w:r>
              <w:t>https://www.petersbigadventure.com/blog/top-things-to-do-in-algiers-algeria</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(English)</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Eng"/>
            </w:pPr>
            <w:r>
              <w:t>Algiers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w:t>
            </w:r>
            <w:proofErr w:type="spellStart"/>
            <w:r>
              <w:rPr>
                <w:color w:val="0070C0"/>
                <w:sz w:val="24"/>
                <w:szCs w:val="24"/>
                <w:lang w:val="en-GB"/>
              </w:rPr>
              <w:t>Fuṣḥā</w:t>
            </w:r>
            <w:proofErr w:type="spellEnd"/>
            <w:r>
              <w:rPr>
                <w:color w:val="0070C0"/>
                <w:sz w:val="24"/>
                <w:szCs w:val="24"/>
                <w:lang w:val="en-GB"/>
              </w:rPr>
              <w:t>,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
            </w:pPr>
            <w:r>
              <w:t>al-</w:t>
            </w:r>
            <w:proofErr w:type="spellStart"/>
            <w:r>
              <w:rPr>
                <w:caps/>
              </w:rPr>
              <w:t>ǧ</w:t>
            </w:r>
            <w:r>
              <w:t>azāʔir</w:t>
            </w:r>
            <w:proofErr w:type="spellEnd"/>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w:t>
            </w:r>
            <w:proofErr w:type="spellStart"/>
            <w:r>
              <w:rPr>
                <w:color w:val="0070C0"/>
                <w:sz w:val="24"/>
                <w:szCs w:val="24"/>
                <w:lang w:val="en-GB"/>
              </w:rPr>
              <w:t>Fuṣḥā</w:t>
            </w:r>
            <w:proofErr w:type="spellEnd"/>
            <w:r>
              <w:rPr>
                <w:color w:val="0070C0"/>
                <w:sz w:val="24"/>
                <w:szCs w:val="24"/>
                <w:lang w:val="en-GB"/>
              </w:rPr>
              <w:t>, Arabic)</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Ar"/>
              <w:spacing w:after="0"/>
              <w:rPr>
                <w:rFonts w:cs="Calibri"/>
                <w:bCs w:val="0"/>
                <w:sz w:val="32"/>
                <w:szCs w:val="32"/>
                <w:lang w:val="en-GB" w:eastAsia="en-US"/>
              </w:rPr>
            </w:pPr>
            <w:r>
              <w:rPr>
                <w:rFonts w:cs="Times New Roman"/>
                <w:bCs w:val="0"/>
                <w:sz w:val="32"/>
                <w:szCs w:val="32"/>
                <w:rtl/>
                <w:lang w:val="en-GB" w:eastAsia="en-US"/>
              </w:rPr>
              <w:t>الجزائر</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in local variety (in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Loc"/>
            </w:pPr>
            <w:proofErr w:type="spellStart"/>
            <w:r>
              <w:rPr>
                <w:color w:val="000000"/>
              </w:rPr>
              <w:t>Dz</w:t>
            </w:r>
            <w:r>
              <w:rPr>
                <w:color w:val="00000A"/>
              </w:rPr>
              <w:t>āyr</w:t>
            </w:r>
            <w:proofErr w:type="spellEnd"/>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Geo location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o"/>
            </w:pPr>
            <w:r>
              <w:t>36.75,</w:t>
            </w:r>
          </w:p>
          <w:p w:rsidR="006E7A47" w:rsidRDefault="00841B3C">
            <w:pPr>
              <w:pStyle w:val="geo"/>
            </w:pPr>
            <w:r>
              <w:t>2.98</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(Local)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
              <w:rPr>
                <w:color w:val="000000"/>
                <w:sz w:val="24"/>
                <w:szCs w:val="24"/>
                <w:lang w:val="en-GB"/>
              </w:rPr>
            </w:pPr>
            <w:r>
              <w:rPr>
                <w:color w:val="000000"/>
                <w:sz w:val="24"/>
                <w:szCs w:val="24"/>
                <w:lang w:val="en-GB"/>
              </w:rPr>
              <w:t xml:space="preserve">West (Maghreb) › Algeria › Northern dialects </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Gen"/>
            </w:pPr>
            <w:r>
              <w:rPr>
                <w:highlight w:val="white"/>
              </w:rPr>
              <w:t xml:space="preserve">Urban sedentary </w:t>
            </w:r>
            <w:r>
              <w:t>pre-</w:t>
            </w:r>
            <w:proofErr w:type="spellStart"/>
            <w:r>
              <w:t>Hil</w:t>
            </w:r>
            <w:r>
              <w:rPr>
                <w:color w:val="00000A"/>
              </w:rPr>
              <w:t>ā</w:t>
            </w:r>
            <w:r>
              <w:t>lian</w:t>
            </w:r>
            <w:proofErr w:type="spellEnd"/>
            <w:r>
              <w:t>-type</w:t>
            </w:r>
            <w:r>
              <w:rPr>
                <w:highlight w:val="white"/>
              </w:rPr>
              <w:t xml:space="preserve"> dialect with strong influences of rural and Bedouin-type dialects</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n"/>
              <w:jc w:val="both"/>
            </w:pPr>
            <w:r>
              <w:t xml:space="preserve">Located in the centre of the Algerian coast, Algiers is the political, administrative, economic, and cultural capital of Algeria. Algiers has been and still is subject to large migratory movements of different geographical and social origins. This has resulted in the linguistic </w:t>
            </w:r>
            <w:proofErr w:type="gramStart"/>
            <w:r>
              <w:t>levelling which</w:t>
            </w:r>
            <w:proofErr w:type="gramEnd"/>
            <w:r>
              <w:t xml:space="preserve"> explains the rather heterogeneous character of the city's dialect.</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Research history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rsidP="005249E7">
            <w:pPr>
              <w:pStyle w:val="dicts"/>
              <w:jc w:val="both"/>
            </w:pPr>
            <w:r>
              <w:rPr>
                <w:lang w:val="en-US"/>
              </w:rPr>
              <w:t xml:space="preserve">The first studies on the dialect of Algiers date from the French conquest. </w:t>
            </w:r>
            <w:r w:rsidR="005249E7">
              <w:rPr>
                <w:lang w:val="en-US"/>
              </w:rPr>
              <w:fldChar w:fldCharType="begin"/>
            </w:r>
            <w:r w:rsidR="005249E7">
              <w:rPr>
                <w:lang w:val="en-US"/>
              </w:rPr>
              <w:instrText xml:space="preserve"> ADDIN ZOTERO_ITEM CSL_CITATION {"citationID":"</w:instrText>
            </w:r>
            <w:bookmarkStart w:id="0" w:name="_GoBack"/>
            <w:r w:rsidR="005249E7">
              <w:rPr>
                <w:lang w:val="en-US"/>
              </w:rPr>
              <w:instrText>GPifUwuf</w:instrText>
            </w:r>
            <w:bookmarkEnd w:id="0"/>
            <w:r w:rsidR="005249E7">
              <w:rPr>
                <w:lang w:val="en-US"/>
              </w:rPr>
              <w:instrText>","properties":{"formattedCitation":"(Woidich 1980)","plainCitation":"(Woidich 1980)","noteIndex":0},"citationItems":[{"id":56595,"uris":["http://zotero.org/users/2136239/items/ADU7TH6N"],"uri":["http:</w:instrText>
            </w:r>
            <w:r w:rsidR="005249E7">
              <w:rPr>
                <w:lang w:val="en-US"/>
              </w:rPr>
              <w:lastRenderedPageBreak/>
              <w:instrText xml:space="preserve">//zotero.org/users/2136239/items/ADU7TH6N"],"itemData":{"id":56595,"type":"article-journal","title":"Illi als Konjunktion im Kairenischen","page":"224-238","abstract":"(biblid:woidich_1980_0001)","author":[{"family":"Woidich","given":"Manfred"}],"issued":{"date-parts":[["1980"]]}}}],"schema":"https://github.com/citation-style-language/schema/raw/master/csl-citation.json"} </w:instrText>
            </w:r>
            <w:r w:rsidR="005249E7">
              <w:rPr>
                <w:lang w:val="en-US"/>
              </w:rPr>
              <w:fldChar w:fldCharType="separate"/>
            </w:r>
            <w:r w:rsidR="005249E7" w:rsidRPr="005249E7">
              <w:rPr>
                <w:rFonts w:cs="Calibri"/>
              </w:rPr>
              <w:t>(Woidich 1980)</w:t>
            </w:r>
            <w:r w:rsidR="005249E7">
              <w:rPr>
                <w:lang w:val="en-US"/>
              </w:rPr>
              <w:fldChar w:fldCharType="end"/>
            </w:r>
            <w:r w:rsidR="00856A97">
              <w:rPr>
                <w:lang w:val="en-US"/>
              </w:rPr>
              <w:t xml:space="preserve"> offered a phonological and</w:t>
            </w:r>
            <w:r>
              <w:rPr>
                <w:lang w:val="en-US"/>
              </w:rPr>
              <w:t xml:space="preserve"> morphological sketch of the dialect of Algiers, plus a narrative with French translation. </w:t>
            </w:r>
            <w:proofErr w:type="spellStart"/>
            <w:r>
              <w:rPr>
                <w:lang w:val="en-US"/>
              </w:rPr>
              <w:t>Bellemare</w:t>
            </w:r>
            <w:proofErr w:type="spellEnd"/>
            <w:r>
              <w:rPr>
                <w:lang w:val="en-US"/>
              </w:rPr>
              <w:t xml:space="preserve"> 1850, a description of the grammar of the dialect of Algiers, </w:t>
            </w:r>
            <w:proofErr w:type="gramStart"/>
            <w:r>
              <w:rPr>
                <w:lang w:val="en-US"/>
              </w:rPr>
              <w:t>was written</w:t>
            </w:r>
            <w:proofErr w:type="gramEnd"/>
            <w:r>
              <w:rPr>
                <w:lang w:val="en-US"/>
              </w:rPr>
              <w:t xml:space="preserve"> for the French army and civil servants. </w:t>
            </w:r>
            <w:r>
              <w:t xml:space="preserve">Ben </w:t>
            </w:r>
            <w:proofErr w:type="spellStart"/>
            <w:r>
              <w:t>Sedira</w:t>
            </w:r>
            <w:proofErr w:type="spellEnd"/>
            <w:r>
              <w:t xml:space="preserve"> 2001 (originally published in 1886) included a short grammatical sketch of the dialect of the city. Cohen 1912 is a study devoted to the Jewish dialect of Algiers, but provides information about the Muslim variety as well. </w:t>
            </w:r>
            <w:proofErr w:type="spellStart"/>
            <w:r>
              <w:t>Bencheneb</w:t>
            </w:r>
            <w:proofErr w:type="spellEnd"/>
            <w:r>
              <w:t xml:space="preserve"> 1942 is an article on the special phonological, morphological, and semantic features of the vernacular of Algiers. </w:t>
            </w:r>
            <w:proofErr w:type="spellStart"/>
            <w:r>
              <w:t>Bencheneb</w:t>
            </w:r>
            <w:proofErr w:type="spellEnd"/>
            <w:r>
              <w:t xml:space="preserve"> 1943 and </w:t>
            </w:r>
            <w:proofErr w:type="spellStart"/>
            <w:r>
              <w:t>Bencheneb</w:t>
            </w:r>
            <w:proofErr w:type="spellEnd"/>
            <w:r>
              <w:t xml:space="preserve"> 1944 present dialectal texts.</w:t>
            </w:r>
          </w:p>
          <w:p w:rsidR="006E7A47" w:rsidRDefault="00841B3C">
            <w:pPr>
              <w:pStyle w:val="researchHistory"/>
              <w:jc w:val="both"/>
            </w:pPr>
            <w:proofErr w:type="spellStart"/>
            <w:r>
              <w:rPr>
                <w:lang w:val="en-US"/>
              </w:rPr>
              <w:t>Mishkurov</w:t>
            </w:r>
            <w:proofErr w:type="spellEnd"/>
            <w:r>
              <w:rPr>
                <w:lang w:val="en-US"/>
              </w:rPr>
              <w:t xml:space="preserve"> 1973 is a short article on the </w:t>
            </w:r>
            <w:proofErr w:type="spellStart"/>
            <w:r>
              <w:rPr>
                <w:lang w:val="en-US"/>
              </w:rPr>
              <w:t>pronominalisation</w:t>
            </w:r>
            <w:proofErr w:type="spellEnd"/>
            <w:r>
              <w:rPr>
                <w:lang w:val="en-US"/>
              </w:rPr>
              <w:t xml:space="preserve"> of the lexeme </w:t>
            </w:r>
            <w:proofErr w:type="spellStart"/>
            <w:r>
              <w:rPr>
                <w:i/>
                <w:iCs/>
                <w:lang w:val="en-US"/>
              </w:rPr>
              <w:t>ši</w:t>
            </w:r>
            <w:proofErr w:type="spellEnd"/>
            <w:r>
              <w:rPr>
                <w:lang w:val="en-US"/>
              </w:rPr>
              <w:t xml:space="preserve"> in the dialect of Algiers; and </w:t>
            </w:r>
            <w:proofErr w:type="spellStart"/>
            <w:r>
              <w:rPr>
                <w:lang w:val="en-US"/>
              </w:rPr>
              <w:t>Mishkurov</w:t>
            </w:r>
            <w:proofErr w:type="spellEnd"/>
            <w:r>
              <w:rPr>
                <w:lang w:val="en-US"/>
              </w:rPr>
              <w:t xml:space="preserve"> 1982 presents a concise grammatical description of the city's dialect, subdivided into phonetics, morphology, and syntax. </w:t>
            </w:r>
            <w:proofErr w:type="spellStart"/>
            <w:r>
              <w:rPr>
                <w:lang w:val="en-US"/>
              </w:rPr>
              <w:t>Mairi</w:t>
            </w:r>
            <w:proofErr w:type="spellEnd"/>
            <w:r>
              <w:rPr>
                <w:lang w:val="en-US"/>
              </w:rPr>
              <w:t xml:space="preserve"> 1981 is a study on the phonology and morphology of Algiers Arabic. </w:t>
            </w:r>
            <w:proofErr w:type="spellStart"/>
            <w:r>
              <w:rPr>
                <w:lang w:val="en-US"/>
              </w:rPr>
              <w:t>Coletti</w:t>
            </w:r>
            <w:proofErr w:type="spellEnd"/>
            <w:r>
              <w:rPr>
                <w:lang w:val="en-US"/>
              </w:rPr>
              <w:t xml:space="preserve"> 1985 is a 6-page text presenting a legend from Algiers with Italian translation and includes a grammatical sketch and short glossary. </w:t>
            </w:r>
            <w:proofErr w:type="spellStart"/>
            <w:r>
              <w:rPr>
                <w:lang w:val="en-US"/>
              </w:rPr>
              <w:t>Boucherit</w:t>
            </w:r>
            <w:proofErr w:type="spellEnd"/>
            <w:r>
              <w:rPr>
                <w:lang w:val="en-US"/>
              </w:rPr>
              <w:t xml:space="preserve"> 1994 discusses the vowel system of the dialect of Algiers.</w:t>
            </w:r>
          </w:p>
          <w:p w:rsidR="00841B3C" w:rsidRDefault="00841B3C" w:rsidP="00A36BA6">
            <w:pPr>
              <w:pStyle w:val="researchHistory"/>
              <w:jc w:val="both"/>
              <w:rPr>
                <w:lang w:val="en-US"/>
              </w:rPr>
            </w:pPr>
            <w:r>
              <w:rPr>
                <w:lang w:val="en-US"/>
              </w:rPr>
              <w:t xml:space="preserve">The most comprehensive description on the contemporary dialect is </w:t>
            </w:r>
            <w:proofErr w:type="spellStart"/>
            <w:r>
              <w:rPr>
                <w:lang w:val="en-US"/>
              </w:rPr>
              <w:t>Boucherit</w:t>
            </w:r>
            <w:proofErr w:type="spellEnd"/>
            <w:r>
              <w:rPr>
                <w:lang w:val="en-US"/>
              </w:rPr>
              <w:t xml:space="preserve"> 2002 – a monograph study that also covers sociolinguistics. The first part of the study is a general introduction into the grammar of the dialect: topics like the variation of the phonological system </w:t>
            </w:r>
            <w:proofErr w:type="gramStart"/>
            <w:r>
              <w:rPr>
                <w:lang w:val="en-US"/>
              </w:rPr>
              <w:t>are also addressed</w:t>
            </w:r>
            <w:proofErr w:type="gramEnd"/>
            <w:r>
              <w:rPr>
                <w:lang w:val="en-US"/>
              </w:rPr>
              <w:t xml:space="preserve">. The study includes a 100-page collection of texts with French translation, including vignettes of everyday life, poetry, and dialogues. The book is useful ethnographically, including many proverbs, women’s </w:t>
            </w:r>
            <w:proofErr w:type="spellStart"/>
            <w:r>
              <w:rPr>
                <w:lang w:val="en-US"/>
              </w:rPr>
              <w:t>Būqālah</w:t>
            </w:r>
            <w:proofErr w:type="spellEnd"/>
            <w:r>
              <w:rPr>
                <w:lang w:val="en-US"/>
              </w:rPr>
              <w:t xml:space="preserve"> poetry, and narratives. </w:t>
            </w:r>
            <w:proofErr w:type="spellStart"/>
            <w:r>
              <w:rPr>
                <w:lang w:val="en-US"/>
              </w:rPr>
              <w:t>Hamdani</w:t>
            </w:r>
            <w:proofErr w:type="spellEnd"/>
            <w:r>
              <w:rPr>
                <w:lang w:val="en-US"/>
              </w:rPr>
              <w:t xml:space="preserve"> </w:t>
            </w:r>
            <w:proofErr w:type="spellStart"/>
            <w:r>
              <w:rPr>
                <w:lang w:val="en-US"/>
              </w:rPr>
              <w:t>Kadri</w:t>
            </w:r>
            <w:proofErr w:type="spellEnd"/>
            <w:r>
              <w:rPr>
                <w:lang w:val="en-US"/>
              </w:rPr>
              <w:t xml:space="preserve"> 2006 investigates the semantics of temporality in the dialect of Algiers, focusing on the </w:t>
            </w:r>
            <w:proofErr w:type="spellStart"/>
            <w:r>
              <w:rPr>
                <w:lang w:val="en-US"/>
              </w:rPr>
              <w:t>aspecto</w:t>
            </w:r>
            <w:proofErr w:type="spellEnd"/>
            <w:r>
              <w:rPr>
                <w:lang w:val="en-US"/>
              </w:rPr>
              <w:t xml:space="preserve">-temporal values of verb forms. </w:t>
            </w:r>
            <w:proofErr w:type="spellStart"/>
            <w:r>
              <w:rPr>
                <w:lang w:val="en-US"/>
              </w:rPr>
              <w:t>Boucherit</w:t>
            </w:r>
            <w:proofErr w:type="spellEnd"/>
            <w:r>
              <w:rPr>
                <w:lang w:val="en-US"/>
              </w:rPr>
              <w:t xml:space="preserve"> 2014 treats nominal determination. </w:t>
            </w:r>
            <w:proofErr w:type="spellStart"/>
            <w:r>
              <w:rPr>
                <w:lang w:val="en-US"/>
              </w:rPr>
              <w:t>Souag</w:t>
            </w:r>
            <w:proofErr w:type="spellEnd"/>
            <w:r>
              <w:rPr>
                <w:lang w:val="en-US"/>
              </w:rPr>
              <w:t xml:space="preserve"> 2016 is a short analysis of the determiner </w:t>
            </w:r>
            <w:proofErr w:type="spellStart"/>
            <w:r>
              <w:rPr>
                <w:i/>
                <w:iCs/>
                <w:lang w:val="en-US"/>
              </w:rPr>
              <w:t>kaš</w:t>
            </w:r>
            <w:proofErr w:type="spellEnd"/>
            <w:r w:rsidR="0028408C">
              <w:rPr>
                <w:lang w:val="en-US"/>
              </w:rPr>
              <w:t xml:space="preserve"> in Algiers Arabic.</w:t>
            </w:r>
          </w:p>
          <w:p w:rsidR="006E7A47" w:rsidRDefault="00841B3C" w:rsidP="00841B3C">
            <w:pPr>
              <w:pStyle w:val="researchHistory"/>
              <w:jc w:val="both"/>
            </w:pPr>
            <w:r w:rsidRPr="00841B3C">
              <w:rPr>
                <w:lang w:val="en-US"/>
              </w:rPr>
              <w:t xml:space="preserve">A concise grammatical sketch of the dialect is </w:t>
            </w:r>
            <w:r>
              <w:rPr>
                <w:lang w:val="en-US"/>
              </w:rPr>
              <w:t xml:space="preserve">Aziza </w:t>
            </w:r>
            <w:proofErr w:type="spellStart"/>
            <w:r>
              <w:rPr>
                <w:lang w:val="en-US"/>
              </w:rPr>
              <w:t>Boucherit</w:t>
            </w:r>
            <w:r w:rsidRPr="00841B3C">
              <w:rPr>
                <w:lang w:val="en-US"/>
              </w:rPr>
              <w:t>’s</w:t>
            </w:r>
            <w:proofErr w:type="spellEnd"/>
            <w:r w:rsidRPr="00841B3C">
              <w:rPr>
                <w:lang w:val="en-US"/>
              </w:rPr>
              <w:t xml:space="preserve"> “</w:t>
            </w:r>
            <w:r>
              <w:rPr>
                <w:lang w:val="en-US"/>
              </w:rPr>
              <w:t>Algiers Arabic”, in EALL I, 58-66</w:t>
            </w:r>
            <w:r w:rsidRPr="00841B3C">
              <w:rPr>
                <w:lang w:val="en-US"/>
              </w:rPr>
              <w:t>.</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lastRenderedPageBreak/>
              <w:t>Dictionaries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dicts"/>
              <w:jc w:val="both"/>
            </w:pPr>
            <w:r>
              <w:t xml:space="preserve">Ben </w:t>
            </w:r>
            <w:proofErr w:type="spellStart"/>
            <w:r>
              <w:t>Sedira</w:t>
            </w:r>
            <w:proofErr w:type="spellEnd"/>
            <w:r>
              <w:t xml:space="preserve"> 2001 (originally published in 1886) and </w:t>
            </w:r>
            <w:proofErr w:type="spellStart"/>
            <w:r>
              <w:t>Beaussier</w:t>
            </w:r>
            <w:proofErr w:type="spellEnd"/>
            <w:r>
              <w:t xml:space="preserve"> et al. 2006 (originally published in 1958) are dictionaries of the colloquial language in Algeria based on the dialect of Algiers. </w:t>
            </w:r>
            <w:proofErr w:type="spellStart"/>
            <w:r>
              <w:t>Darmaun</w:t>
            </w:r>
            <w:proofErr w:type="spellEnd"/>
            <w:r>
              <w:t xml:space="preserve"> 1963 has 30-page Arabic-French and 35-page French-Arabic glossaries. </w:t>
            </w:r>
            <w:proofErr w:type="spellStart"/>
            <w:r>
              <w:t>Tapiéro</w:t>
            </w:r>
            <w:proofErr w:type="spellEnd"/>
            <w:r>
              <w:t xml:space="preserve"> 1978 includes an Arabic-French as </w:t>
            </w:r>
            <w:r>
              <w:lastRenderedPageBreak/>
              <w:t xml:space="preserve">well as a French-Arabic glossary (around 20 pages each). </w:t>
            </w:r>
            <w:proofErr w:type="spellStart"/>
            <w:r>
              <w:t>Coletti</w:t>
            </w:r>
            <w:proofErr w:type="spellEnd"/>
            <w:r>
              <w:t xml:space="preserve"> 1985 includes a 10-page glossary.</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lastRenderedPageBreak/>
              <w:t>Text books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extbooks"/>
              <w:jc w:val="both"/>
              <w:rPr>
                <w:highlight w:val="white"/>
              </w:rPr>
            </w:pPr>
            <w:proofErr w:type="spellStart"/>
            <w:r>
              <w:rPr>
                <w:highlight w:val="white"/>
              </w:rPr>
              <w:t>Tapiéro</w:t>
            </w:r>
            <w:proofErr w:type="spellEnd"/>
            <w:r>
              <w:rPr>
                <w:highlight w:val="white"/>
              </w:rPr>
              <w:t xml:space="preserve"> 1978 is a French textbook on the dialect of Algiers consisting of 30 lessons, including 15 translated dialogues.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Audio data</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6E7A47">
            <w:pPr>
              <w:pStyle w:val="audio"/>
              <w:rPr>
                <w:sz w:val="24"/>
                <w:szCs w:val="24"/>
                <w:highlight w:val="white"/>
              </w:rPr>
            </w:pP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Bibliography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Sample text</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Linguistic features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bl>
    <w:p w:rsidR="006E7A47" w:rsidRDefault="006E7A47"/>
    <w:sectPr w:rsidR="006E7A47">
      <w:headerReference w:type="even" r:id="rId8"/>
      <w:headerReference w:type="default" r:id="rId9"/>
      <w:footerReference w:type="even" r:id="rId10"/>
      <w:footerReference w:type="default" r:id="rId11"/>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327" w:rsidRDefault="00072327">
      <w:pPr>
        <w:spacing w:after="0" w:line="240" w:lineRule="auto"/>
      </w:pPr>
      <w:r>
        <w:separator/>
      </w:r>
    </w:p>
  </w:endnote>
  <w:endnote w:type="continuationSeparator" w:id="0">
    <w:p w:rsidR="00072327" w:rsidRDefault="0007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327" w:rsidRDefault="00072327">
      <w:pPr>
        <w:spacing w:after="0" w:line="240" w:lineRule="auto"/>
      </w:pPr>
      <w:r>
        <w:separator/>
      </w:r>
    </w:p>
  </w:footnote>
  <w:footnote w:type="continuationSeparator" w:id="0">
    <w:p w:rsidR="00072327" w:rsidRDefault="00072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47"/>
    <w:rsid w:val="00072327"/>
    <w:rsid w:val="0028408C"/>
    <w:rsid w:val="005249E7"/>
    <w:rsid w:val="006E7A47"/>
    <w:rsid w:val="00841B3C"/>
    <w:rsid w:val="00856A97"/>
    <w:rsid w:val="00992ACD"/>
    <w:rsid w:val="00A36BA6"/>
    <w:rsid w:val="00CD2331"/>
    <w:rsid w:val="00D0135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6B65-C836-4E36-BCAA-416C89DC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ipa">
    <w:name w:val="ipa"/>
    <w:basedOn w:val="Absatz-Standardschriftart"/>
    <w:qFormat/>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customStyle="1" w:styleId="TabellenInhalt">
    <w:name w:val="Tabellen Inhalt"/>
    <w:basedOn w:val="Standard"/>
    <w:qFormat/>
    <w:pPr>
      <w:suppressLineNumbers/>
    </w:pPr>
  </w:style>
  <w:style w:type="paragraph" w:styleId="Sprechblasentext">
    <w:name w:val="Balloon Text"/>
    <w:basedOn w:val="Standard"/>
    <w:link w:val="SprechblasentextZchn"/>
    <w:uiPriority w:val="99"/>
    <w:semiHidden/>
    <w:unhideWhenUsed/>
    <w:rsid w:val="00A36BA6"/>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A36BA6"/>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40FFC-286D-4C0D-AE33-F40A505A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Mörth, Karlheinz</dc:creator>
  <dc:description/>
  <cp:lastModifiedBy>Mörth, Karlheinz</cp:lastModifiedBy>
  <cp:revision>2</cp:revision>
  <dcterms:created xsi:type="dcterms:W3CDTF">2018-12-07T10:43:00Z</dcterms:created>
  <dcterms:modified xsi:type="dcterms:W3CDTF">2018-12-07T10:43:00Z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zotero-version="5.0.44"&gt;&lt;session id="sVSGU98e"/&gt;&lt;style id="http://www.zotero.org/styles/springer-humanities-author-date" hasBibliography="1" bibliographyStyleHasBeenSet="0"/&gt;&lt;prefs&gt;&lt;pref name="fieldType" value="Field"/&gt;&lt;pref name="a</vt:lpwstr>
  </property>
  <property fmtid="{D5CDD505-2E9C-101B-9397-08002B2CF9AE}" pid="9" name="ZOTERO_PREF_2">
    <vt:lpwstr>utomaticJournalAbbreviations" value="true"/&gt;&lt;/prefs&gt;&lt;/data&gt;</vt:lpwstr>
  </property>
</Properties>
</file>