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91" w:rsidRDefault="00331591">
      <w:pPr>
        <w:rPr>
          <w:lang w:val="en-GB"/>
        </w:rPr>
      </w:pPr>
    </w:p>
    <w:p w:rsidR="00331591" w:rsidRDefault="00473561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331591" w:rsidRDefault="00331591">
      <w:pPr>
        <w:rPr>
          <w:lang w:val="en-GB"/>
        </w:rPr>
      </w:pPr>
    </w:p>
    <w:tbl>
      <w:tblPr>
        <w:tblW w:w="9288" w:type="dxa"/>
        <w:tblBorders>
          <w:bottom w:val="single" w:sz="4" w:space="0" w:color="FFFFFF"/>
          <w:insideH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331591" w:rsidTr="00705943">
        <w:tc>
          <w:tcPr>
            <w:tcW w:w="1242" w:type="dxa"/>
            <w:tcBorders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8046" w:type="dxa"/>
            <w:shd w:val="clear" w:color="auto" w:fill="FFFFFF"/>
          </w:tcPr>
          <w:p w:rsidR="00331591" w:rsidRDefault="00473561">
            <w:pPr>
              <w:pStyle w:val="xmlID"/>
              <w:rPr>
                <w:color w:val="FFFFFF"/>
              </w:rPr>
            </w:pPr>
            <w:r>
              <w:rPr>
                <w:color w:val="FFFFFF"/>
              </w:rPr>
              <w:t>profile_{location}_01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tbl>
            <w:tblPr>
              <w:tblW w:w="6373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6373"/>
            </w:tblGrid>
            <w:tr w:rsidR="00331591" w:rsidRPr="00705943" w:rsidTr="00705943">
              <w:tc>
                <w:tcPr>
                  <w:tcW w:w="63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FFFFFF"/>
                  <w:tcMar>
                    <w:left w:w="103" w:type="dxa"/>
                  </w:tcMar>
                </w:tcPr>
                <w:p w:rsidR="00331591" w:rsidRPr="00705943" w:rsidRDefault="00331591">
                  <w:pPr>
                    <w:pStyle w:val="author"/>
                    <w:rPr>
                      <w:color w:val="auto"/>
                    </w:rPr>
                  </w:pPr>
                  <w:bookmarkStart w:id="0" w:name="_GoBack"/>
                  <w:bookmarkEnd w:id="0"/>
                </w:p>
              </w:tc>
            </w:tr>
          </w:tbl>
          <w:p w:rsidR="00331591" w:rsidRPr="00705943" w:rsidRDefault="00705943">
            <w:pPr>
              <w:pStyle w:val="author"/>
              <w:rPr>
                <w:color w:val="auto"/>
              </w:rPr>
            </w:pPr>
            <w:r w:rsidRPr="00705943">
              <w:rPr>
                <w:color w:val="auto"/>
              </w:rPr>
              <w:t xml:space="preserve">Aleksandra </w:t>
            </w:r>
            <w:proofErr w:type="spellStart"/>
            <w:r w:rsidRPr="00705943">
              <w:rPr>
                <w:color w:val="auto"/>
              </w:rPr>
              <w:t>Ercegovčević</w:t>
            </w:r>
            <w:proofErr w:type="spellEnd"/>
            <w:r w:rsidRPr="00705943">
              <w:rPr>
                <w:color w:val="auto"/>
              </w:rPr>
              <w:t xml:space="preserve"> 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101600" distL="0" distR="0">
                  <wp:extent cx="3368675" cy="1570990"/>
                  <wp:effectExtent l="0" t="0" r="0" b="0"/>
                  <wp:docPr id="1" name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675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591" w:rsidRPr="00705943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imageCopyright"/>
            </w:pPr>
            <w:r>
              <w:t>https://fr.wikipedia.org/wiki/Constantine_(Alg%C3%A9rie)#/media/File:Ville_de_Constantine_%D9%85%D8%AF%D9%8A%D9%86%D8%A9_%D9%82%D8%B3%D9%86%D8%B7%D9%8A%D9%86%D8%A9_2.jpg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locNameEng"/>
            </w:pPr>
            <w:r>
              <w:t>Constantine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locNameFusha"/>
            </w:pPr>
            <w:proofErr w:type="spellStart"/>
            <w:r>
              <w:t>Qusanṭīna</w:t>
            </w:r>
            <w:proofErr w:type="spellEnd"/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locNameFushaAr"/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rtl/>
                <w:lang w:val="en-US"/>
              </w:rPr>
              <w:t>قسنطينة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Pr="00473561" w:rsidRDefault="00473561">
            <w:pPr>
              <w:spacing w:after="0" w:line="240" w:lineRule="auto"/>
              <w:rPr>
                <w:lang w:val="en-US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locNameLoc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Qṣonṭayna</w:t>
            </w:r>
            <w:proofErr w:type="spellEnd"/>
            <w:r>
              <w:rPr>
                <w:color w:val="00000A"/>
              </w:rPr>
              <w:t xml:space="preserve"> 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geo"/>
              <w:rPr>
                <w:color w:val="000000"/>
              </w:rPr>
            </w:pPr>
            <w:r>
              <w:rPr>
                <w:color w:val="000000"/>
              </w:rPr>
              <w:t>36.35,</w:t>
            </w:r>
          </w:p>
          <w:p w:rsidR="00331591" w:rsidRDefault="00473561">
            <w:pPr>
              <w:pStyle w:val="geo"/>
              <w:rPr>
                <w:color w:val="000000"/>
              </w:rPr>
            </w:pPr>
            <w:r>
              <w:rPr>
                <w:color w:val="000000"/>
              </w:rPr>
              <w:t>6.63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typology"/>
              <w:rPr>
                <w:color w:val="000000"/>
                <w:sz w:val="24"/>
                <w:szCs w:val="24"/>
                <w:lang w:val="de-AT"/>
              </w:rPr>
            </w:pPr>
            <w:r>
              <w:rPr>
                <w:color w:val="000000"/>
                <w:sz w:val="24"/>
                <w:szCs w:val="24"/>
                <w:lang w:val="de-AT"/>
              </w:rPr>
              <w:t xml:space="preserve">West (Maghreb) › </w:t>
            </w:r>
            <w:proofErr w:type="spellStart"/>
            <w:r>
              <w:rPr>
                <w:color w:val="000000"/>
                <w:sz w:val="24"/>
                <w:szCs w:val="24"/>
                <w:lang w:val="de-AT"/>
              </w:rPr>
              <w:t>Algeria</w:t>
            </w:r>
            <w:proofErr w:type="spellEnd"/>
            <w:r>
              <w:rPr>
                <w:color w:val="000000"/>
                <w:sz w:val="24"/>
                <w:szCs w:val="24"/>
                <w:lang w:val="de-AT"/>
              </w:rPr>
              <w:t xml:space="preserve"> › Eastern </w:t>
            </w:r>
            <w:proofErr w:type="spellStart"/>
            <w:r>
              <w:rPr>
                <w:color w:val="000000"/>
                <w:sz w:val="24"/>
                <w:szCs w:val="24"/>
                <w:lang w:val="de-AT"/>
              </w:rPr>
              <w:t>dialects</w:t>
            </w:r>
            <w:proofErr w:type="spellEnd"/>
          </w:p>
        </w:tc>
      </w:tr>
      <w:tr w:rsidR="00331591" w:rsidRPr="00705943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typologyGen"/>
            </w:pPr>
            <w:r>
              <w:rPr>
                <w:highlight w:val="white"/>
              </w:rPr>
              <w:t xml:space="preserve">Urban sedentary </w:t>
            </w:r>
            <w:r>
              <w:t>pre-</w:t>
            </w:r>
            <w:proofErr w:type="spellStart"/>
            <w:r>
              <w:t>Hil</w:t>
            </w:r>
            <w:r>
              <w:rPr>
                <w:color w:val="00000A"/>
              </w:rPr>
              <w:t>ā</w:t>
            </w:r>
            <w:r>
              <w:t>lian</w:t>
            </w:r>
            <w:proofErr w:type="spellEnd"/>
            <w:r>
              <w:t>-type</w:t>
            </w:r>
            <w:r>
              <w:rPr>
                <w:highlight w:val="white"/>
              </w:rPr>
              <w:t xml:space="preserve"> dialect </w:t>
            </w:r>
            <w:r>
              <w:t xml:space="preserve">with influences of </w:t>
            </w:r>
            <w:r>
              <w:rPr>
                <w:highlight w:val="white"/>
              </w:rPr>
              <w:t>Bedouin-type dialects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gen"/>
              <w:jc w:val="both"/>
            </w:pPr>
            <w:r>
              <w:t>Constantine is the 3</w:t>
            </w:r>
            <w:r>
              <w:rPr>
                <w:vertAlign w:val="superscript"/>
              </w:rPr>
              <w:t>rd</w:t>
            </w:r>
            <w:r>
              <w:t xml:space="preserve"> largest city in Algeria. It </w:t>
            </w:r>
            <w:proofErr w:type="gramStart"/>
            <w:r>
              <w:t>is regarded</w:t>
            </w:r>
            <w:proofErr w:type="gramEnd"/>
            <w:r>
              <w:t xml:space="preserve"> as the capital of eastern Algeria and is the main commercial centre of the region. Constantine </w:t>
            </w:r>
            <w:proofErr w:type="gramStart"/>
            <w:r>
              <w:t>is often referred</w:t>
            </w:r>
            <w:proofErr w:type="gramEnd"/>
            <w:r>
              <w:t xml:space="preserve"> to as the "City of Bridges" due to the numerous picturesque bridges connecting the hills, valleys, and ravines on and in which the city is built.</w:t>
            </w:r>
          </w:p>
          <w:p w:rsidR="00331591" w:rsidRDefault="00473561">
            <w:pPr>
              <w:pStyle w:val="gen"/>
              <w:jc w:val="both"/>
            </w:pPr>
            <w:r>
              <w:lastRenderedPageBreak/>
              <w:t xml:space="preserve">The dialect of Constantine belongs to the Algerian urban </w:t>
            </w:r>
            <w:proofErr w:type="gramStart"/>
            <w:r>
              <w:t>dialects which exhibit strong influences from the surrounding rural</w:t>
            </w:r>
            <w:proofErr w:type="gramEnd"/>
            <w:r>
              <w:t xml:space="preserve"> and Bedouin dialects: thus its ancient urban dialect has been partially superseded by the neighbouring Bedouin dialects. This </w:t>
            </w:r>
            <w:proofErr w:type="gramStart"/>
            <w:r>
              <w:t>can be explained</w:t>
            </w:r>
            <w:proofErr w:type="gramEnd"/>
            <w:r>
              <w:t xml:space="preserve"> by the rapid population growth from 119,000 in </w:t>
            </w:r>
            <w:r>
              <w:rPr>
                <w:lang w:val="en-US"/>
              </w:rPr>
              <w:t xml:space="preserve">1955 to almost half a million today. The dialect of </w:t>
            </w:r>
            <w:r>
              <w:t>Constantine has preserved the interdental fricatives.</w:t>
            </w:r>
          </w:p>
        </w:tc>
      </w:tr>
      <w:tr w:rsidR="00331591" w:rsidRPr="00705943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pStyle w:val="researchHistory"/>
              <w:jc w:val="both"/>
            </w:pPr>
            <w:r>
              <w:rPr>
                <w:lang w:val="en-US"/>
              </w:rPr>
              <w:t xml:space="preserve">Hitherto little research </w:t>
            </w:r>
            <w:proofErr w:type="gramStart"/>
            <w:r>
              <w:rPr>
                <w:lang w:val="en-US"/>
              </w:rPr>
              <w:t>has been done</w:t>
            </w:r>
            <w:proofErr w:type="gramEnd"/>
            <w:r>
              <w:rPr>
                <w:lang w:val="en-US"/>
              </w:rPr>
              <w:t xml:space="preserve"> on the dialect of Constantine. </w:t>
            </w:r>
            <w:proofErr w:type="spellStart"/>
            <w:r>
              <w:rPr>
                <w:lang w:val="en-US"/>
              </w:rPr>
              <w:t>Cantineau</w:t>
            </w:r>
            <w:proofErr w:type="spellEnd"/>
            <w:r>
              <w:rPr>
                <w:lang w:val="en-US"/>
              </w:rPr>
              <w:t xml:space="preserve"> 1938 briefly treats the dialects of the area of the former French “</w:t>
            </w:r>
            <w:proofErr w:type="spellStart"/>
            <w:r>
              <w:rPr>
                <w:lang w:val="en-US"/>
              </w:rPr>
              <w:t>Département</w:t>
            </w:r>
            <w:proofErr w:type="spellEnd"/>
            <w:r>
              <w:rPr>
                <w:lang w:val="en-US"/>
              </w:rPr>
              <w:t xml:space="preserve"> de Constantine” and includes the dialect of Constantine. Singer 1997 is a text recorded from a speaker from the Kasbah of Constantine and includes a German translation as well as a short note on the phonological features of the dialect.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331591">
            <w:pPr>
              <w:pStyle w:val="dicts"/>
            </w:pP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331591">
            <w:pPr>
              <w:pStyle w:val="textbooks"/>
              <w:rPr>
                <w:highlight w:val="white"/>
              </w:rPr>
            </w:pP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331591">
            <w:pPr>
              <w:pStyle w:val="audio"/>
              <w:rPr>
                <w:sz w:val="24"/>
                <w:szCs w:val="24"/>
                <w:highlight w:val="white"/>
              </w:rPr>
            </w:pP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</w:pPr>
            <w:r>
              <w:rPr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331591" w:rsidTr="00705943">
        <w:tc>
          <w:tcPr>
            <w:tcW w:w="1242" w:type="dxa"/>
            <w:tcBorders>
              <w:top w:val="single" w:sz="4" w:space="0" w:color="FFFFFF"/>
            </w:tcBorders>
            <w:shd w:val="clear" w:color="auto" w:fill="FFC000"/>
          </w:tcPr>
          <w:p w:rsidR="00331591" w:rsidRDefault="00473561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8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31591" w:rsidRDefault="00473561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331591" w:rsidRDefault="00331591">
      <w:pPr>
        <w:rPr>
          <w:sz w:val="24"/>
          <w:szCs w:val="24"/>
          <w:lang w:val="en-GB"/>
        </w:rPr>
      </w:pPr>
    </w:p>
    <w:p w:rsidR="00331591" w:rsidRDefault="00331591"/>
    <w:sectPr w:rsidR="0033159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FB4" w:rsidRDefault="00473561">
      <w:pPr>
        <w:spacing w:after="0" w:line="240" w:lineRule="auto"/>
      </w:pPr>
      <w:r>
        <w:separator/>
      </w:r>
    </w:p>
  </w:endnote>
  <w:endnote w:type="continuationSeparator" w:id="0">
    <w:p w:rsidR="003C7FB4" w:rsidRDefault="0047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591" w:rsidRDefault="0033159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591" w:rsidRDefault="003315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FB4" w:rsidRDefault="00473561">
      <w:pPr>
        <w:spacing w:after="0" w:line="240" w:lineRule="auto"/>
      </w:pPr>
      <w:r>
        <w:separator/>
      </w:r>
    </w:p>
  </w:footnote>
  <w:footnote w:type="continuationSeparator" w:id="0">
    <w:p w:rsidR="003C7FB4" w:rsidRDefault="00473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591" w:rsidRDefault="0033159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591" w:rsidRDefault="0033159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1591"/>
    <w:rsid w:val="00331591"/>
    <w:rsid w:val="003C7FB4"/>
    <w:rsid w:val="00473561"/>
    <w:rsid w:val="0070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3B28"/>
  <w15:docId w15:val="{5EC847B7-CA59-45B3-9A5A-70075E12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qFormat/>
  </w:style>
  <w:style w:type="character" w:customStyle="1" w:styleId="FuzeileZchn">
    <w:name w:val="Fußzeile Zchn"/>
    <w:basedOn w:val="Absatz-Standardschriftart"/>
    <w:qFormat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styleId="BesuchterLink">
    <w:name w:val="FollowedHyperlink"/>
    <w:basedOn w:val="Absatz-Standardschriftart"/>
    <w:qFormat/>
    <w:rPr>
      <w:color w:val="954F72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  <w:qFormat/>
  </w:style>
  <w:style w:type="paragraph" w:customStyle="1" w:styleId="xmlID">
    <w:name w:val="xmlID"/>
    <w:basedOn w:val="Standard"/>
    <w:qFormat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pPr>
      <w:spacing w:after="0" w:line="240" w:lineRule="auto"/>
    </w:pPr>
    <w:rPr>
      <w:lang w:val="en-GB"/>
    </w:r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1840</Characters>
  <Application>Microsoft Office Word</Application>
  <DocSecurity>0</DocSecurity>
  <Lines>15</Lines>
  <Paragraphs>4</Paragraphs>
  <ScaleCrop>false</ScaleCrop>
  <Company>Universitaet Wien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Aleksandra Ercegovcevic</cp:lastModifiedBy>
  <cp:revision>6</cp:revision>
  <dcterms:created xsi:type="dcterms:W3CDTF">2018-05-02T08:20:00Z</dcterms:created>
  <dcterms:modified xsi:type="dcterms:W3CDTF">2018-11-20T11:26:00Z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