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3EB" w:rsidRDefault="008953EB">
      <w:pPr>
        <w:rPr>
          <w:lang w:val="en-GB"/>
        </w:rPr>
      </w:pPr>
    </w:p>
    <w:p w:rsidR="008953EB" w:rsidRDefault="00926433">
      <w:pPr>
        <w:rPr>
          <w:lang w:val="en-GB"/>
        </w:rPr>
      </w:pPr>
      <w:r>
        <w:rPr>
          <w:lang w:val="en-GB"/>
        </w:rPr>
        <w:t>Please fill in the following form. We will convert it into TEI conformant data to put it on the VICAV website. Have a look at previously published examples on the VICAV website.</w:t>
      </w:r>
    </w:p>
    <w:p w:rsidR="008953EB" w:rsidRDefault="008953EB">
      <w:pPr>
        <w:rPr>
          <w:lang w:val="en-GB"/>
        </w:rPr>
      </w:pPr>
    </w:p>
    <w:tbl>
      <w:tblPr>
        <w:tblW w:w="90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3"/>
        <w:gridCol w:w="8009"/>
      </w:tblGrid>
      <w:tr w:rsidR="008953EB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ID</w:t>
            </w:r>
          </w:p>
        </w:tc>
        <w:tc>
          <w:tcPr>
            <w:tcW w:w="800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pStyle w:val="xmlID"/>
              <w:rPr>
                <w:color w:val="FFFFFF"/>
              </w:rPr>
            </w:pPr>
            <w:r>
              <w:rPr>
                <w:color w:val="FFFFFF"/>
              </w:rPr>
              <w:t>profile_{location}_01</w:t>
            </w:r>
          </w:p>
        </w:tc>
      </w:tr>
      <w:tr w:rsidR="008953EB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Author of this profile</w:t>
            </w:r>
          </w:p>
        </w:tc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pStyle w:val="autho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Aleksandra </w:t>
            </w:r>
            <w:proofErr w:type="spellStart"/>
            <w:r>
              <w:rPr>
                <w:sz w:val="28"/>
                <w:szCs w:val="28"/>
              </w:rPr>
              <w:t>Ercegovčević</w:t>
            </w:r>
            <w:proofErr w:type="spellEnd"/>
          </w:p>
        </w:tc>
      </w:tr>
      <w:tr w:rsidR="008953EB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Image</w:t>
            </w:r>
          </w:p>
        </w:tc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pStyle w:val="image"/>
            </w:pPr>
            <w:r>
              <w:rPr>
                <w:noProof/>
                <w:lang w:val="de-AT" w:eastAsia="de-AT"/>
              </w:rPr>
              <w:drawing>
                <wp:inline distT="0" distB="0" distL="0" distR="0">
                  <wp:extent cx="2631643" cy="1973549"/>
                  <wp:effectExtent l="0" t="0" r="0" b="7651"/>
                  <wp:docPr id="1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1643" cy="1973549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3EB" w:rsidRPr="009E5A56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Copyright of image</w:t>
            </w:r>
          </w:p>
        </w:tc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pStyle w:val="imageCopyright"/>
            </w:pPr>
            <w:r>
              <w:t>Wikipedia</w:t>
            </w:r>
          </w:p>
          <w:p w:rsidR="008953EB" w:rsidRDefault="00926433">
            <w:pPr>
              <w:pStyle w:val="imageCopyright"/>
            </w:pPr>
            <w:hyperlink r:id="rId7" w:history="1">
              <w:r>
                <w:t>https://en.wikipedia.org/wiki/Jijel#/media/File:Vue_G%C3%A9n%C3%A9rale_sur_la_Ville_de_Jijel_(Alg%C3%A9rie).JPG</w:t>
              </w:r>
            </w:hyperlink>
          </w:p>
        </w:tc>
      </w:tr>
      <w:tr w:rsidR="008953EB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of location (English)</w:t>
            </w:r>
          </w:p>
        </w:tc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pStyle w:val="locNameEng"/>
            </w:pPr>
            <w:proofErr w:type="spellStart"/>
            <w:r>
              <w:t>Jijel</w:t>
            </w:r>
            <w:proofErr w:type="spellEnd"/>
            <w:r>
              <w:t xml:space="preserve"> (formerly </w:t>
            </w:r>
            <w:proofErr w:type="spellStart"/>
            <w:r>
              <w:t>Djidjelli</w:t>
            </w:r>
            <w:proofErr w:type="spellEnd"/>
            <w:r>
              <w:t>)</w:t>
            </w:r>
          </w:p>
        </w:tc>
      </w:tr>
      <w:tr w:rsidR="008953EB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24"/>
                <w:szCs w:val="24"/>
                <w:lang w:val="en-GB"/>
              </w:rPr>
              <w:t>Fu</w:t>
            </w:r>
            <w:r>
              <w:rPr>
                <w:color w:val="0070C0"/>
                <w:sz w:val="24"/>
                <w:szCs w:val="24"/>
                <w:lang w:val="en-GB"/>
              </w:rPr>
              <w:t>ṣḥ</w:t>
            </w:r>
            <w:r>
              <w:rPr>
                <w:color w:val="0070C0"/>
                <w:sz w:val="24"/>
                <w:szCs w:val="24"/>
                <w:lang w:val="en-GB"/>
              </w:rPr>
              <w:t>ā</w:t>
            </w:r>
            <w:proofErr w:type="spellEnd"/>
            <w:r>
              <w:rPr>
                <w:color w:val="0070C0"/>
                <w:sz w:val="24"/>
                <w:szCs w:val="24"/>
                <w:lang w:val="en-GB"/>
              </w:rPr>
              <w:t>, transcription)</w:t>
            </w:r>
          </w:p>
        </w:tc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pStyle w:val="locNameFusha"/>
            </w:pPr>
            <w:proofErr w:type="spellStart"/>
            <w:r>
              <w:t>Ğīǧal</w:t>
            </w:r>
            <w:proofErr w:type="spellEnd"/>
          </w:p>
        </w:tc>
      </w:tr>
      <w:tr w:rsidR="008953EB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of location (</w:t>
            </w:r>
            <w:proofErr w:type="spellStart"/>
            <w:r>
              <w:rPr>
                <w:color w:val="0070C0"/>
                <w:sz w:val="24"/>
                <w:szCs w:val="24"/>
                <w:lang w:val="en-GB"/>
              </w:rPr>
              <w:t>Fu</w:t>
            </w:r>
            <w:r>
              <w:rPr>
                <w:color w:val="0070C0"/>
                <w:sz w:val="24"/>
                <w:szCs w:val="24"/>
                <w:lang w:val="en-GB"/>
              </w:rPr>
              <w:t>ṣḥ</w:t>
            </w:r>
            <w:r>
              <w:rPr>
                <w:color w:val="0070C0"/>
                <w:sz w:val="24"/>
                <w:szCs w:val="24"/>
                <w:lang w:val="en-GB"/>
              </w:rPr>
              <w:t>ā</w:t>
            </w:r>
            <w:proofErr w:type="spellEnd"/>
            <w:r>
              <w:rPr>
                <w:color w:val="0070C0"/>
                <w:sz w:val="24"/>
                <w:szCs w:val="24"/>
                <w:lang w:val="en-GB"/>
              </w:rPr>
              <w:t>, Arabic)</w:t>
            </w:r>
          </w:p>
        </w:tc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pStyle w:val="locNameFushaAr"/>
              <w:spacing w:after="0"/>
              <w:rPr>
                <w:rFonts w:ascii="Arial" w:hAnsi="Arial" w:cs="Arial"/>
                <w:color w:val="222222"/>
                <w:sz w:val="25"/>
                <w:szCs w:val="25"/>
              </w:rPr>
            </w:pPr>
            <w:r>
              <w:rPr>
                <w:rFonts w:ascii="Arial" w:hAnsi="Arial" w:cs="Arial"/>
                <w:color w:val="222222"/>
                <w:sz w:val="25"/>
                <w:szCs w:val="25"/>
                <w:rtl/>
              </w:rPr>
              <w:t>جيجل</w:t>
            </w:r>
          </w:p>
        </w:tc>
      </w:tr>
      <w:tr w:rsidR="008953EB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Name in local variety (in transcription)</w:t>
            </w:r>
          </w:p>
        </w:tc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pStyle w:val="locNameLoc"/>
              <w:rPr>
                <w:color w:val="00000A"/>
              </w:rPr>
            </w:pPr>
            <w:proofErr w:type="spellStart"/>
            <w:r>
              <w:rPr>
                <w:color w:val="00000A"/>
              </w:rPr>
              <w:t>Žīž</w:t>
            </w:r>
            <w:r>
              <w:rPr>
                <w:color w:val="00000A"/>
              </w:rPr>
              <w:t>ə</w:t>
            </w:r>
            <w:r>
              <w:rPr>
                <w:color w:val="00000A"/>
              </w:rPr>
              <w:t>l</w:t>
            </w:r>
            <w:proofErr w:type="spellEnd"/>
          </w:p>
        </w:tc>
      </w:tr>
      <w:tr w:rsidR="008953EB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Geo location</w:t>
            </w:r>
          </w:p>
        </w:tc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pStyle w:val="geo"/>
            </w:pPr>
            <w:r>
              <w:t>36.80, 5.77</w:t>
            </w:r>
          </w:p>
        </w:tc>
      </w:tr>
      <w:tr w:rsidR="008953EB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Typology (Local)</w:t>
            </w:r>
          </w:p>
        </w:tc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pStyle w:val="typolog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West (Maghreb) › Algeria</w:t>
            </w:r>
          </w:p>
        </w:tc>
      </w:tr>
      <w:tr w:rsidR="008953EB" w:rsidRPr="009E5A56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pacing w:after="0" w:line="240" w:lineRule="auto"/>
            </w:pPr>
            <w:r>
              <w:rPr>
                <w:color w:val="0070C0"/>
                <w:sz w:val="24"/>
                <w:szCs w:val="24"/>
                <w:lang w:val="en-GB"/>
              </w:rPr>
              <w:t xml:space="preserve">Typology </w:t>
            </w:r>
            <w:r>
              <w:rPr>
                <w:color w:val="0070C0"/>
                <w:sz w:val="24"/>
                <w:szCs w:val="24"/>
                <w:lang w:val="en-GB"/>
              </w:rPr>
              <w:lastRenderedPageBreak/>
              <w:t>(General)</w:t>
            </w:r>
          </w:p>
        </w:tc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pStyle w:val="typolog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Archaic urban dialect of the pre-</w:t>
            </w:r>
            <w:proofErr w:type="spellStart"/>
            <w:r>
              <w:rPr>
                <w:sz w:val="24"/>
                <w:szCs w:val="24"/>
              </w:rPr>
              <w:t>Hilalian</w:t>
            </w:r>
            <w:proofErr w:type="spellEnd"/>
            <w:r>
              <w:rPr>
                <w:sz w:val="24"/>
                <w:szCs w:val="24"/>
              </w:rPr>
              <w:t xml:space="preserve"> type</w:t>
            </w:r>
          </w:p>
        </w:tc>
      </w:tr>
      <w:tr w:rsidR="008953EB" w:rsidRPr="009E5A56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General</w:t>
            </w:r>
          </w:p>
        </w:tc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pStyle w:val="gen"/>
              <w:jc w:val="both"/>
            </w:pPr>
            <w:proofErr w:type="spellStart"/>
            <w:r>
              <w:t>Jijel</w:t>
            </w:r>
            <w:proofErr w:type="spellEnd"/>
            <w:r>
              <w:t xml:space="preserve"> is a </w:t>
            </w:r>
            <w:proofErr w:type="spellStart"/>
            <w:r>
              <w:t>northeastern</w:t>
            </w:r>
            <w:proofErr w:type="spellEnd"/>
            <w:r>
              <w:t xml:space="preserve"> Algerian coastal city situated in the </w:t>
            </w:r>
            <w:r>
              <w:t xml:space="preserve">region of </w:t>
            </w:r>
            <w:proofErr w:type="spellStart"/>
            <w:r>
              <w:t>Corniche</w:t>
            </w:r>
            <w:proofErr w:type="spellEnd"/>
            <w:r>
              <w:t xml:space="preserve"> </w:t>
            </w:r>
            <w:proofErr w:type="spellStart"/>
            <w:r>
              <w:t>Jjilienne</w:t>
            </w:r>
            <w:proofErr w:type="spellEnd"/>
            <w:r>
              <w:t xml:space="preserve">. Due to the rugged landscape, it is rather isolated. Although today the majority speak Arabic, </w:t>
            </w:r>
            <w:proofErr w:type="spellStart"/>
            <w:r>
              <w:t>Jijel’s</w:t>
            </w:r>
            <w:proofErr w:type="spellEnd"/>
            <w:r>
              <w:t xml:space="preserve"> population is of Berber descent – mainly of the </w:t>
            </w:r>
            <w:proofErr w:type="spellStart"/>
            <w:r>
              <w:t>Kutama</w:t>
            </w:r>
            <w:proofErr w:type="spellEnd"/>
            <w:r>
              <w:t xml:space="preserve"> tribe. </w:t>
            </w:r>
            <w:proofErr w:type="gramStart"/>
            <w:r>
              <w:t>Therefore</w:t>
            </w:r>
            <w:proofErr w:type="gramEnd"/>
            <w:r>
              <w:t xml:space="preserve"> the dialect of </w:t>
            </w:r>
            <w:proofErr w:type="spellStart"/>
            <w:r>
              <w:t>Jijel</w:t>
            </w:r>
            <w:proofErr w:type="spellEnd"/>
            <w:r>
              <w:t xml:space="preserve"> shows certain influences of a Berber substratum</w:t>
            </w:r>
            <w:bookmarkStart w:id="0" w:name="_GoBack"/>
            <w:bookmarkEnd w:id="0"/>
            <w:r>
              <w:t xml:space="preserve">.  </w:t>
            </w:r>
          </w:p>
        </w:tc>
      </w:tr>
      <w:tr w:rsidR="008953EB" w:rsidRPr="009E5A56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Research history</w:t>
            </w:r>
          </w:p>
        </w:tc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pStyle w:val="researchHistory"/>
              <w:jc w:val="both"/>
            </w:pPr>
            <w:proofErr w:type="spellStart"/>
            <w:r>
              <w:t>Marçais</w:t>
            </w:r>
            <w:proofErr w:type="spellEnd"/>
            <w:r>
              <w:t xml:space="preserve"> 1945-1948 is a short article on plural agreement in the </w:t>
            </w:r>
            <w:proofErr w:type="spellStart"/>
            <w:r>
              <w:t>Jijel</w:t>
            </w:r>
            <w:proofErr w:type="spellEnd"/>
            <w:r>
              <w:t xml:space="preserve"> dialect of some usually singular nouns. </w:t>
            </w:r>
            <w:proofErr w:type="spellStart"/>
            <w:r>
              <w:t>Marçais</w:t>
            </w:r>
            <w:proofErr w:type="spellEnd"/>
            <w:r>
              <w:t xml:space="preserve"> 1954 is a collection of texts, including five on everyday life, six folk narratives, and twelve son</w:t>
            </w:r>
            <w:r>
              <w:t xml:space="preserve">gs in the dialect of </w:t>
            </w:r>
            <w:proofErr w:type="spellStart"/>
            <w:r>
              <w:t>Jijel</w:t>
            </w:r>
            <w:proofErr w:type="spellEnd"/>
            <w:r>
              <w:t xml:space="preserve">. </w:t>
            </w:r>
            <w:proofErr w:type="spellStart"/>
            <w:r>
              <w:t>Marçais</w:t>
            </w:r>
            <w:proofErr w:type="spellEnd"/>
            <w:r>
              <w:t xml:space="preserve"> 1956 is a comprehensive study of the dialect of </w:t>
            </w:r>
            <w:proofErr w:type="spellStart"/>
            <w:r>
              <w:t>Jijel</w:t>
            </w:r>
            <w:proofErr w:type="spellEnd"/>
            <w:r>
              <w:t>, including an extraordinarily long section on phonology (140 pages), and chapters (of at least 100 pages each) on the verb, the noun, pronouns, and particles. The cha</w:t>
            </w:r>
            <w:r>
              <w:t xml:space="preserve">pter on syntax, however, consists of only ten pages focusing on topics like affirmation and negation. In the conclusion, the author discusses the </w:t>
            </w:r>
            <w:proofErr w:type="spellStart"/>
            <w:r>
              <w:t>Jijel</w:t>
            </w:r>
            <w:proofErr w:type="spellEnd"/>
            <w:r>
              <w:t xml:space="preserve"> dialect's Berber substratum and its innovative features.</w:t>
            </w:r>
          </w:p>
        </w:tc>
      </w:tr>
      <w:tr w:rsidR="008953EB" w:rsidRPr="009E5A56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Dictionaries</w:t>
            </w:r>
          </w:p>
        </w:tc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pStyle w:val="dicts"/>
            </w:pPr>
            <w:proofErr w:type="spellStart"/>
            <w:r>
              <w:t>Marçais</w:t>
            </w:r>
            <w:proofErr w:type="spellEnd"/>
            <w:r>
              <w:t xml:space="preserve"> 1954 includes a glossary </w:t>
            </w:r>
            <w:r>
              <w:t xml:space="preserve">of about 40 pages. </w:t>
            </w:r>
            <w:proofErr w:type="spellStart"/>
            <w:r>
              <w:t>Marçais</w:t>
            </w:r>
            <w:proofErr w:type="spellEnd"/>
            <w:r>
              <w:t xml:space="preserve"> 1956 contains significant lexicographical information.</w:t>
            </w:r>
          </w:p>
        </w:tc>
      </w:tr>
      <w:tr w:rsidR="008953EB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Text books</w:t>
            </w:r>
          </w:p>
        </w:tc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8953EB">
            <w:pPr>
              <w:pStyle w:val="textbooks"/>
              <w:rPr>
                <w:shd w:val="clear" w:color="auto" w:fill="FFFFFF"/>
              </w:rPr>
            </w:pPr>
          </w:p>
        </w:tc>
      </w:tr>
      <w:tr w:rsidR="008953EB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Audio data</w:t>
            </w:r>
          </w:p>
        </w:tc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8953EB">
            <w:pPr>
              <w:pStyle w:val="audio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8953EB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Bibliography</w:t>
            </w:r>
          </w:p>
        </w:tc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8953EB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Sample text</w:t>
            </w:r>
          </w:p>
        </w:tc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  <w:tr w:rsidR="008953EB">
        <w:tblPrEx>
          <w:tblCellMar>
            <w:top w:w="0" w:type="dxa"/>
            <w:bottom w:w="0" w:type="dxa"/>
          </w:tblCellMar>
        </w:tblPrEx>
        <w:tc>
          <w:tcPr>
            <w:tcW w:w="10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pacing w:after="0" w:line="240" w:lineRule="auto"/>
              <w:rPr>
                <w:color w:val="0070C0"/>
                <w:sz w:val="24"/>
                <w:szCs w:val="24"/>
                <w:lang w:val="en-GB"/>
              </w:rPr>
            </w:pPr>
            <w:r>
              <w:rPr>
                <w:color w:val="0070C0"/>
                <w:sz w:val="24"/>
                <w:szCs w:val="24"/>
                <w:lang w:val="en-GB"/>
              </w:rPr>
              <w:t>Linguistic features</w:t>
            </w:r>
          </w:p>
        </w:tc>
        <w:tc>
          <w:tcPr>
            <w:tcW w:w="80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953EB" w:rsidRDefault="00926433">
            <w:pPr>
              <w:shd w:val="clear" w:color="auto" w:fill="FFFFFF"/>
              <w:spacing w:after="0" w:line="240" w:lineRule="auto"/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color w:val="000000"/>
                <w:sz w:val="24"/>
                <w:szCs w:val="24"/>
                <w:shd w:val="clear" w:color="auto" w:fill="FFFFFF"/>
                <w:lang w:val="en-GB"/>
              </w:rPr>
              <w:t>{leave empty}</w:t>
            </w:r>
          </w:p>
        </w:tc>
      </w:tr>
    </w:tbl>
    <w:p w:rsidR="008953EB" w:rsidRDefault="008953EB">
      <w:pPr>
        <w:rPr>
          <w:sz w:val="24"/>
          <w:szCs w:val="24"/>
          <w:lang w:val="en-GB"/>
        </w:rPr>
      </w:pPr>
    </w:p>
    <w:p w:rsidR="008953EB" w:rsidRDefault="008953EB"/>
    <w:sectPr w:rsidR="008953E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926433">
      <w:pPr>
        <w:spacing w:after="0" w:line="240" w:lineRule="auto"/>
      </w:pPr>
      <w:r>
        <w:separator/>
      </w:r>
    </w:p>
  </w:endnote>
  <w:endnote w:type="continuationSeparator" w:id="0">
    <w:p w:rsidR="00000000" w:rsidRDefault="00926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161" w:rsidRDefault="0092643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161" w:rsidRDefault="0092643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926433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000000" w:rsidRDefault="00926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161" w:rsidRDefault="0092643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161" w:rsidRDefault="0092643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953EB"/>
    <w:rsid w:val="008953EB"/>
    <w:rsid w:val="00926433"/>
    <w:rsid w:val="009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F3FCD"/>
  <w15:docId w15:val="{3A09D4EA-2B97-451F-957E-6928E5CC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Lucida Sans Unicode" w:hAnsi="Calibri" w:cs="Tahoma"/>
        <w:kern w:val="3"/>
        <w:sz w:val="22"/>
        <w:szCs w:val="22"/>
        <w:lang w:val="de-DE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Fuzeile">
    <w:name w:val="footer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styleId="Literaturverzeichnis">
    <w:name w:val="Bibliography"/>
    <w:basedOn w:val="Standard"/>
  </w:style>
  <w:style w:type="paragraph" w:customStyle="1" w:styleId="xmlID">
    <w:name w:val="xmlID"/>
    <w:basedOn w:val="Standard"/>
    <w:pPr>
      <w:spacing w:after="0" w:line="240" w:lineRule="auto"/>
    </w:pPr>
    <w:rPr>
      <w:bCs/>
      <w:color w:val="000000"/>
      <w:sz w:val="24"/>
      <w:szCs w:val="24"/>
      <w:lang w:val="en-GB"/>
    </w:rPr>
  </w:style>
  <w:style w:type="paragraph" w:customStyle="1" w:styleId="author">
    <w:name w:val="author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Copyright">
    <w:name w:val="imageCopyright"/>
    <w:basedOn w:val="Standard"/>
    <w:pPr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image">
    <w:name w:val="image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locNameEng">
    <w:name w:val="locNameEng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">
    <w:name w:val="locNameFusha"/>
    <w:basedOn w:val="Standard"/>
    <w:pPr>
      <w:spacing w:after="0" w:line="240" w:lineRule="auto"/>
    </w:pPr>
    <w:rPr>
      <w:sz w:val="24"/>
      <w:szCs w:val="24"/>
      <w:lang w:val="en-GB"/>
    </w:rPr>
  </w:style>
  <w:style w:type="paragraph" w:customStyle="1" w:styleId="locNameFushaAr">
    <w:name w:val="locNameFushaAr"/>
    <w:basedOn w:val="Standard"/>
    <w:pPr>
      <w:spacing w:before="100" w:after="100" w:line="240" w:lineRule="auto"/>
      <w:outlineLvl w:val="0"/>
    </w:pPr>
    <w:rPr>
      <w:rFonts w:eastAsia="Times New Roman"/>
      <w:bCs/>
      <w:sz w:val="24"/>
      <w:szCs w:val="24"/>
      <w:lang w:eastAsia="de-DE"/>
    </w:rPr>
  </w:style>
  <w:style w:type="paragraph" w:customStyle="1" w:styleId="locNameLoc">
    <w:name w:val="locNameLoc"/>
    <w:basedOn w:val="Standard"/>
    <w:pPr>
      <w:spacing w:after="0" w:line="240" w:lineRule="auto"/>
    </w:pPr>
    <w:rPr>
      <w:color w:val="FF0000"/>
      <w:sz w:val="24"/>
      <w:szCs w:val="24"/>
      <w:lang w:val="en-GB"/>
    </w:rPr>
  </w:style>
  <w:style w:type="paragraph" w:customStyle="1" w:styleId="geo">
    <w:name w:val="geo"/>
    <w:basedOn w:val="Standard"/>
    <w:pPr>
      <w:shd w:val="clear" w:color="auto" w:fill="FFFFFF"/>
      <w:spacing w:after="0" w:line="240" w:lineRule="auto"/>
    </w:pPr>
    <w:rPr>
      <w:sz w:val="24"/>
      <w:szCs w:val="24"/>
      <w:lang w:val="en-GB"/>
    </w:rPr>
  </w:style>
  <w:style w:type="paragraph" w:customStyle="1" w:styleId="typology">
    <w:name w:val="typology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typologyGen">
    <w:name w:val="typology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gen">
    <w:name w:val="gen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researchHistory">
    <w:name w:val="researchHistory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dicts">
    <w:name w:val="dict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textbooks">
    <w:name w:val="textbooks"/>
    <w:basedOn w:val="Standard"/>
    <w:pPr>
      <w:shd w:val="clear" w:color="auto" w:fill="FFFFFF"/>
      <w:spacing w:after="0" w:line="240" w:lineRule="auto"/>
    </w:pPr>
    <w:rPr>
      <w:color w:val="000000"/>
      <w:sz w:val="24"/>
      <w:szCs w:val="24"/>
      <w:lang w:val="en-GB"/>
    </w:rPr>
  </w:style>
  <w:style w:type="paragraph" w:customStyle="1" w:styleId="audio">
    <w:name w:val="audio"/>
    <w:basedOn w:val="Standard"/>
    <w:pPr>
      <w:shd w:val="clear" w:color="auto" w:fill="FFFFFF"/>
      <w:spacing w:after="0" w:line="240" w:lineRule="auto"/>
    </w:pPr>
    <w:rPr>
      <w:lang w:val="en-US"/>
    </w:rPr>
  </w:style>
  <w:style w:type="paragraph" w:customStyle="1" w:styleId="biblio">
    <w:name w:val="biblio"/>
    <w:basedOn w:val="Literaturverzeichnis"/>
    <w:pPr>
      <w:spacing w:after="0" w:line="240" w:lineRule="auto"/>
    </w:pPr>
    <w:rPr>
      <w:lang w:val="en-GB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KopfzeileZchn">
    <w:name w:val="Kopfzeile Zchn"/>
    <w:basedOn w:val="Absatz-Standardschriftart"/>
  </w:style>
  <w:style w:type="character" w:customStyle="1" w:styleId="FuzeileZchn">
    <w:name w:val="Fußzeile Zchn"/>
    <w:basedOn w:val="Absatz-Standardschriftart"/>
  </w:style>
  <w:style w:type="character" w:customStyle="1" w:styleId="Internetlink">
    <w:name w:val="Internet link"/>
    <w:basedOn w:val="Absatz-Standardschriftar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Jijel#/media/File:Vue_G&#233;n&#233;rale_sur_la_Ville_de_Jijel_(Alg&#233;rie)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Universitaet Wien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Ercegovcevic</dc:creator>
  <cp:lastModifiedBy>Aleksandra Ercegovcevic</cp:lastModifiedBy>
  <cp:revision>3</cp:revision>
  <dcterms:created xsi:type="dcterms:W3CDTF">2019-01-31T10:27:00Z</dcterms:created>
  <dcterms:modified xsi:type="dcterms:W3CDTF">2019-01-31T10:29:00Z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