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B27" w:rsidRDefault="00942B27">
      <w:pPr>
        <w:rPr>
          <w:lang w:val="en-GB"/>
        </w:rPr>
      </w:pPr>
    </w:p>
    <w:p w:rsidR="00942B27" w:rsidRDefault="00E502CE">
      <w:pPr>
        <w:rPr>
          <w:lang w:val="en-GB"/>
        </w:rPr>
      </w:pPr>
      <w:r>
        <w:rPr>
          <w:lang w:val="en-GB"/>
        </w:rPr>
        <w:t>Please fill in the following form. We will convert it into TEI conformant data to put it on the VICAV website. Have a look at previously published examples on the VICAV website.</w:t>
      </w:r>
    </w:p>
    <w:p w:rsidR="00942B27" w:rsidRDefault="00942B27">
      <w:pPr>
        <w:rPr>
          <w:lang w:val="en-GB"/>
        </w:rPr>
      </w:pPr>
    </w:p>
    <w:tbl>
      <w:tblPr>
        <w:tblW w:w="9062" w:type="dxa"/>
        <w:tblInd w:w="-108" w:type="dxa"/>
        <w:tblLayout w:type="fixed"/>
        <w:tblCellMar>
          <w:left w:w="10" w:type="dxa"/>
          <w:right w:w="10" w:type="dxa"/>
        </w:tblCellMar>
        <w:tblLook w:val="04A0" w:firstRow="1" w:lastRow="0" w:firstColumn="1" w:lastColumn="0" w:noHBand="0" w:noVBand="1"/>
      </w:tblPr>
      <w:tblGrid>
        <w:gridCol w:w="2688"/>
        <w:gridCol w:w="6374"/>
      </w:tblGrid>
      <w:tr w:rsidR="00942B27">
        <w:tc>
          <w:tcPr>
            <w:tcW w:w="2688" w:type="dxa"/>
            <w:tcBorders>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ID</w:t>
            </w:r>
          </w:p>
        </w:tc>
        <w:tc>
          <w:tcPr>
            <w:tcW w:w="6374" w:type="dxa"/>
            <w:shd w:val="clear" w:color="auto" w:fill="FFFFFF"/>
            <w:tcMar>
              <w:top w:w="0" w:type="dxa"/>
              <w:left w:w="108" w:type="dxa"/>
              <w:bottom w:w="0" w:type="dxa"/>
              <w:right w:w="108" w:type="dxa"/>
            </w:tcMar>
          </w:tcPr>
          <w:p w:rsidR="00942B27" w:rsidRDefault="00E502CE">
            <w:pPr>
              <w:pStyle w:val="xmlID"/>
              <w:rPr>
                <w:color w:val="FFFFFF"/>
              </w:rPr>
            </w:pPr>
            <w:r>
              <w:rPr>
                <w:color w:val="FFFFFF"/>
              </w:rPr>
              <w:t>profile_{location}_01</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Author of this profile</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author"/>
            </w:pPr>
            <w:r>
              <w:t>Aleksandra Ercegovčević</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Image</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C636BA">
            <w:pPr>
              <w:pStyle w:val="image"/>
              <w:rPr>
                <w:color w:val="000000"/>
              </w:rPr>
            </w:pPr>
            <w:r>
              <w:rPr>
                <w:noProof/>
                <w:color w:val="000000"/>
                <w:lang w:val="de-AT" w:eastAsia="de-AT"/>
              </w:rPr>
              <w:drawing>
                <wp:inline distT="0" distB="0" distL="0" distR="0">
                  <wp:extent cx="3910330" cy="29330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emcen_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0330" cy="2933065"/>
                          </a:xfrm>
                          <a:prstGeom prst="rect">
                            <a:avLst/>
                          </a:prstGeom>
                        </pic:spPr>
                      </pic:pic>
                    </a:graphicData>
                  </a:graphic>
                </wp:inline>
              </w:drawing>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Copyright of image</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C636BA">
            <w:pPr>
              <w:pStyle w:val="imageCopyright"/>
              <w:rPr>
                <w:lang w:val="fr-FR"/>
              </w:rPr>
            </w:pPr>
            <w:r>
              <w:rPr>
                <w:lang w:val="fr-FR"/>
              </w:rPr>
              <w:t>Stephan Procházka 2008</w:t>
            </w:r>
            <w:bookmarkStart w:id="0" w:name="_GoBack"/>
            <w:bookmarkEnd w:id="0"/>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Name of location (English)</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locNameEng"/>
            </w:pPr>
            <w:r>
              <w:t>Tlemcen</w:t>
            </w:r>
          </w:p>
          <w:p w:rsidR="00942B27" w:rsidRDefault="00942B27">
            <w:pPr>
              <w:pStyle w:val="locNameEng"/>
            </w:pP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Name of location (Fuṣḥā, transcription)</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locNameFusha"/>
            </w:pPr>
            <w:r>
              <w:t>Tilimsān</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Name of location (Fuṣḥā, Arabic)</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locNameFushaAr"/>
              <w:spacing w:after="0"/>
            </w:pPr>
            <w:r>
              <w:rPr>
                <w:rFonts w:cs="Arial"/>
                <w:sz w:val="32"/>
                <w:szCs w:val="32"/>
                <w:rtl/>
                <w:lang w:val="en-US"/>
              </w:rPr>
              <w:t>تلمسان</w:t>
            </w:r>
            <w:r>
              <w:rPr>
                <w:sz w:val="32"/>
                <w:szCs w:val="32"/>
                <w:cs/>
                <w:lang w:val="en-US"/>
              </w:rPr>
              <w:t>‎</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Name in local variety (in transcription)</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locNameLoc"/>
              <w:rPr>
                <w:color w:val="000000"/>
              </w:rPr>
            </w:pPr>
            <w:r>
              <w:rPr>
                <w:color w:val="000000"/>
              </w:rPr>
              <w:t>Tləmsān</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Geo location</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A03A2" w:rsidRDefault="009A03A2">
            <w:pPr>
              <w:pStyle w:val="geo"/>
            </w:pPr>
            <w:r>
              <w:t>34.89,</w:t>
            </w:r>
          </w:p>
          <w:p w:rsidR="00942B27" w:rsidRDefault="00E502CE">
            <w:pPr>
              <w:pStyle w:val="geo"/>
            </w:pPr>
            <w:r>
              <w:t>-1.32</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Typology (Local)</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typology"/>
              <w:rPr>
                <w:color w:val="000000"/>
                <w:sz w:val="24"/>
                <w:szCs w:val="24"/>
                <w:lang w:val="de-AT"/>
              </w:rPr>
            </w:pPr>
            <w:r>
              <w:rPr>
                <w:color w:val="000000"/>
                <w:sz w:val="24"/>
                <w:szCs w:val="24"/>
                <w:lang w:val="de-AT"/>
              </w:rPr>
              <w:t>West (Maghreb) › Algeria › Western dialects</w:t>
            </w:r>
          </w:p>
        </w:tc>
      </w:tr>
      <w:tr w:rsidR="00942B27" w:rsidRPr="009F0859">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Typology (General)</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typologyGen"/>
              <w:rPr>
                <w:color w:val="00000A"/>
              </w:rPr>
            </w:pPr>
            <w:r>
              <w:rPr>
                <w:color w:val="00000A"/>
              </w:rPr>
              <w:t>Urban sedentary pre-Hilālī-type dialect</w:t>
            </w:r>
          </w:p>
        </w:tc>
      </w:tr>
      <w:tr w:rsidR="00942B27" w:rsidRPr="009F0859">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General</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spacing w:after="0" w:line="240" w:lineRule="auto"/>
              <w:jc w:val="both"/>
              <w:rPr>
                <w:sz w:val="24"/>
                <w:szCs w:val="24"/>
                <w:lang w:val="en-GB"/>
              </w:rPr>
            </w:pPr>
            <w:r>
              <w:rPr>
                <w:sz w:val="24"/>
                <w:szCs w:val="24"/>
                <w:lang w:val="en-GB"/>
              </w:rPr>
              <w:t>Tlemcen is a city in northwestern Algeria near the Moroccan border. The region is known for its fertile ground and olive plantations as well as for its cultural variety. For many centuries after the Arab conquest in 708, it had a large Christian population. Berber, Arabic, Hispano-Moorish, Ottoman, and Western influences are all to be found in the city.</w:t>
            </w:r>
          </w:p>
          <w:p w:rsidR="00942B27" w:rsidRDefault="00E502CE">
            <w:pPr>
              <w:spacing w:after="0" w:line="240" w:lineRule="auto"/>
              <w:jc w:val="both"/>
              <w:rPr>
                <w:sz w:val="24"/>
                <w:szCs w:val="24"/>
                <w:lang w:val="en-GB"/>
              </w:rPr>
            </w:pPr>
            <w:r>
              <w:rPr>
                <w:sz w:val="24"/>
                <w:szCs w:val="24"/>
                <w:lang w:val="en-GB"/>
              </w:rPr>
              <w:t xml:space="preserve">The Arabic of Tlemcen is regarded as one of the urban pre-Hilālī forms of speech brought to the Maghreb by the first waves of Arab Muslim conquerors. In the original local dialect </w:t>
            </w:r>
            <w:r w:rsidRPr="00E502CE">
              <w:rPr>
                <w:i/>
                <w:iCs/>
                <w:sz w:val="24"/>
                <w:szCs w:val="24"/>
                <w:lang w:val="en-GB"/>
              </w:rPr>
              <w:t>q</w:t>
            </w:r>
            <w:r>
              <w:rPr>
                <w:sz w:val="24"/>
                <w:szCs w:val="24"/>
                <w:lang w:val="en-GB"/>
              </w:rPr>
              <w:t xml:space="preserve"> is reflected as the glottal stop </w:t>
            </w:r>
            <w:r w:rsidRPr="00E502CE">
              <w:rPr>
                <w:i/>
                <w:iCs/>
                <w:sz w:val="24"/>
                <w:szCs w:val="24"/>
                <w:lang w:val="en-GB"/>
              </w:rPr>
              <w:t>ʔ</w:t>
            </w:r>
            <w:r>
              <w:rPr>
                <w:sz w:val="24"/>
                <w:szCs w:val="24"/>
                <w:lang w:val="en-GB"/>
              </w:rPr>
              <w:t>, which is regarded throughout Algeria as a shibboleth of inhabitants of Tlemcen.</w:t>
            </w:r>
          </w:p>
        </w:tc>
      </w:tr>
      <w:tr w:rsidR="00942B27" w:rsidRPr="009F0859">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Research history</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researchHistory"/>
              <w:jc w:val="both"/>
            </w:pPr>
            <w:r>
              <w:rPr>
                <w:lang w:val="en-US"/>
              </w:rPr>
              <w:t xml:space="preserve">Research on the dialect of Tlemcen began early in the </w:t>
            </w:r>
            <w:r>
              <w:t>20</w:t>
            </w:r>
            <w:r>
              <w:rPr>
                <w:vertAlign w:val="superscript"/>
              </w:rPr>
              <w:t>th</w:t>
            </w:r>
            <w:r>
              <w:rPr>
                <w:lang w:val="en-US"/>
              </w:rPr>
              <w:t xml:space="preserve"> century. The first and still the most comprehensive study on it is Marçais 1902, which contains a grammar, a collection of texts, and a glossary. The grammar consists of a description of phonology and morphology. The collection of texts includes 25 poems of the </w:t>
            </w:r>
            <w:r>
              <w:rPr>
                <w:i/>
                <w:lang w:val="en-US"/>
              </w:rPr>
              <w:t xml:space="preserve">ḥawfī </w:t>
            </w:r>
            <w:r>
              <w:rPr>
                <w:lang w:val="en-US"/>
              </w:rPr>
              <w:t>genre, five prose texts, and 17 children’s songs</w:t>
            </w:r>
            <w:r w:rsidRPr="006228B9">
              <w:rPr>
                <w:lang w:val="en-US"/>
              </w:rPr>
              <w:t xml:space="preserve">. </w:t>
            </w:r>
            <w:r w:rsidR="006228B9">
              <w:rPr>
                <w:lang w:val="en-US"/>
              </w:rPr>
              <w:t xml:space="preserve">Benhadji-Serradj 1952 </w:t>
            </w:r>
            <w:r w:rsidRPr="006228B9">
              <w:rPr>
                <w:lang w:val="en-US"/>
              </w:rPr>
              <w:t>is an</w:t>
            </w:r>
            <w:r>
              <w:rPr>
                <w:lang w:val="en-US"/>
              </w:rPr>
              <w:t xml:space="preserve"> article describing winter among the peasants of Tlemcen, and includes poems</w:t>
            </w:r>
          </w:p>
          <w:p w:rsidR="00942B27" w:rsidRDefault="00E502CE">
            <w:pPr>
              <w:pStyle w:val="researchHistory"/>
              <w:jc w:val="both"/>
              <w:rPr>
                <w:lang w:val="en-US"/>
              </w:rPr>
            </w:pPr>
            <w:r>
              <w:rPr>
                <w:lang w:val="en-US"/>
              </w:rPr>
              <w:t xml:space="preserve">Siagh 1976 describes the phonology of the dialect of Tlemcen. Dekkak 1979 is a sociolinguistic study that deals with sex differences. Benzian 1986 discusses phonemic contrast. Dendane 2014 analyses the sociolinguistic variation of the </w:t>
            </w:r>
            <w:r w:rsidR="00EF6F5A">
              <w:rPr>
                <w:lang w:val="en-US"/>
              </w:rPr>
              <w:t xml:space="preserve">decline of the glottal stop (&lt; </w:t>
            </w:r>
            <w:r w:rsidR="00EF6F5A" w:rsidRPr="00EF6F5A">
              <w:rPr>
                <w:i/>
                <w:iCs/>
                <w:lang w:val="en-US"/>
              </w:rPr>
              <w:t>q</w:t>
            </w:r>
            <w:r>
              <w:rPr>
                <w:lang w:val="en-US"/>
              </w:rPr>
              <w:t>) as a possible indicator of dialect shift.</w:t>
            </w:r>
          </w:p>
        </w:tc>
      </w:tr>
      <w:tr w:rsidR="00942B27" w:rsidRPr="009F0859">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lastRenderedPageBreak/>
              <w:t>Dictionaries</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pStyle w:val="dicts"/>
            </w:pPr>
            <w:r>
              <w:t xml:space="preserve">A compact glossary can be found in </w:t>
            </w:r>
            <w:r>
              <w:rPr>
                <w:lang w:val="en-US"/>
              </w:rPr>
              <w:t>Marçais 1902.</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Text books</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942B27">
            <w:pPr>
              <w:pStyle w:val="textbooks"/>
              <w:rPr>
                <w:shd w:val="clear" w:color="auto" w:fill="FFFFFF"/>
              </w:rPr>
            </w:pP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Audio data</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942B27">
            <w:pPr>
              <w:pStyle w:val="audio"/>
              <w:rPr>
                <w:sz w:val="24"/>
                <w:szCs w:val="24"/>
                <w:shd w:val="clear" w:color="auto" w:fill="FFFFFF"/>
              </w:rPr>
            </w:pP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Bibliography</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shd w:val="clear" w:color="auto" w:fill="FFFFFF"/>
              <w:spacing w:after="0" w:line="240" w:lineRule="auto"/>
              <w:rPr>
                <w:color w:val="000000"/>
                <w:sz w:val="24"/>
                <w:szCs w:val="24"/>
                <w:shd w:val="clear" w:color="auto" w:fill="FFFFFF"/>
                <w:lang w:val="en-GB"/>
              </w:rPr>
            </w:pPr>
            <w:r>
              <w:rPr>
                <w:color w:val="000000"/>
                <w:sz w:val="24"/>
                <w:szCs w:val="24"/>
                <w:shd w:val="clear" w:color="auto" w:fill="FFFFFF"/>
                <w:lang w:val="en-GB"/>
              </w:rPr>
              <w:t>{leave empty}</w:t>
            </w:r>
          </w:p>
        </w:tc>
      </w:tr>
      <w:tr w:rsidR="00942B27">
        <w:tc>
          <w:tcPr>
            <w:tcW w:w="2688" w:type="dxa"/>
            <w:tcBorders>
              <w:top w:val="single" w:sz="4" w:space="0" w:color="FFFFFF"/>
              <w:bottom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Sample text</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shd w:val="clear" w:color="auto" w:fill="FFFFFF"/>
              <w:spacing w:after="0" w:line="240" w:lineRule="auto"/>
              <w:rPr>
                <w:color w:val="000000"/>
                <w:sz w:val="24"/>
                <w:szCs w:val="24"/>
                <w:shd w:val="clear" w:color="auto" w:fill="FFFFFF"/>
                <w:lang w:val="en-GB"/>
              </w:rPr>
            </w:pPr>
            <w:r>
              <w:rPr>
                <w:color w:val="000000"/>
                <w:sz w:val="24"/>
                <w:szCs w:val="24"/>
                <w:shd w:val="clear" w:color="auto" w:fill="FFFFFF"/>
                <w:lang w:val="en-GB"/>
              </w:rPr>
              <w:t>{leave empty}</w:t>
            </w:r>
          </w:p>
        </w:tc>
      </w:tr>
      <w:tr w:rsidR="00942B27">
        <w:tc>
          <w:tcPr>
            <w:tcW w:w="2688" w:type="dxa"/>
            <w:tcBorders>
              <w:top w:val="single" w:sz="4" w:space="0" w:color="FFFFFF"/>
            </w:tcBorders>
            <w:shd w:val="clear" w:color="auto" w:fill="FFC000"/>
            <w:tcMar>
              <w:top w:w="0" w:type="dxa"/>
              <w:left w:w="108" w:type="dxa"/>
              <w:bottom w:w="0" w:type="dxa"/>
              <w:right w:w="108" w:type="dxa"/>
            </w:tcMar>
          </w:tcPr>
          <w:p w:rsidR="00942B27" w:rsidRDefault="00E502CE">
            <w:pPr>
              <w:spacing w:after="0" w:line="240" w:lineRule="auto"/>
              <w:rPr>
                <w:color w:val="0070C0"/>
                <w:sz w:val="24"/>
                <w:szCs w:val="24"/>
                <w:lang w:val="en-GB"/>
              </w:rPr>
            </w:pPr>
            <w:r>
              <w:rPr>
                <w:color w:val="0070C0"/>
                <w:sz w:val="24"/>
                <w:szCs w:val="24"/>
                <w:lang w:val="en-GB"/>
              </w:rPr>
              <w:t>Linguistic features</w:t>
            </w:r>
          </w:p>
        </w:tc>
        <w:tc>
          <w:tcPr>
            <w:tcW w:w="6374"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942B27" w:rsidRDefault="00E502CE">
            <w:pPr>
              <w:shd w:val="clear" w:color="auto" w:fill="FFFFFF"/>
              <w:spacing w:after="0" w:line="240" w:lineRule="auto"/>
              <w:rPr>
                <w:color w:val="000000"/>
                <w:sz w:val="24"/>
                <w:szCs w:val="24"/>
                <w:shd w:val="clear" w:color="auto" w:fill="FFFFFF"/>
                <w:lang w:val="en-GB"/>
              </w:rPr>
            </w:pPr>
            <w:r>
              <w:rPr>
                <w:color w:val="000000"/>
                <w:sz w:val="24"/>
                <w:szCs w:val="24"/>
                <w:shd w:val="clear" w:color="auto" w:fill="FFFFFF"/>
                <w:lang w:val="en-GB"/>
              </w:rPr>
              <w:t>{leave empty}</w:t>
            </w:r>
          </w:p>
        </w:tc>
      </w:tr>
    </w:tbl>
    <w:p w:rsidR="00942B27" w:rsidRDefault="00942B27">
      <w:pPr>
        <w:rPr>
          <w:sz w:val="24"/>
          <w:szCs w:val="24"/>
          <w:lang w:val="en-GB"/>
        </w:rPr>
      </w:pPr>
    </w:p>
    <w:p w:rsidR="00942B27" w:rsidRDefault="00942B27"/>
    <w:sectPr w:rsidR="00942B27">
      <w:headerReference w:type="even" r:id="rId8"/>
      <w:headerReference w:type="default" r:id="rId9"/>
      <w:footerReference w:type="even" r:id="rId10"/>
      <w:footerReference w:type="default" r:id="rId11"/>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AF6" w:rsidRDefault="00E502CE">
      <w:pPr>
        <w:spacing w:after="0" w:line="240" w:lineRule="auto"/>
      </w:pPr>
      <w:r>
        <w:separator/>
      </w:r>
    </w:p>
  </w:endnote>
  <w:endnote w:type="continuationSeparator" w:id="0">
    <w:p w:rsidR="008A6AF6" w:rsidRDefault="00E50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188" w:rsidRDefault="00C636B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188" w:rsidRDefault="00C636B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AF6" w:rsidRDefault="00E502CE">
      <w:pPr>
        <w:spacing w:after="0" w:line="240" w:lineRule="auto"/>
      </w:pPr>
      <w:r>
        <w:rPr>
          <w:color w:val="000000"/>
        </w:rPr>
        <w:separator/>
      </w:r>
    </w:p>
  </w:footnote>
  <w:footnote w:type="continuationSeparator" w:id="0">
    <w:p w:rsidR="008A6AF6" w:rsidRDefault="00E50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188" w:rsidRDefault="00C636B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188" w:rsidRDefault="00C636B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942B27"/>
    <w:rsid w:val="00030735"/>
    <w:rsid w:val="006228B9"/>
    <w:rsid w:val="008A6AF6"/>
    <w:rsid w:val="00942B27"/>
    <w:rsid w:val="009A03A2"/>
    <w:rsid w:val="009F0859"/>
    <w:rsid w:val="00C636BA"/>
    <w:rsid w:val="00E502CE"/>
    <w:rsid w:val="00EF6F5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kern w:val="3"/>
        <w:sz w:val="22"/>
        <w:szCs w:val="22"/>
        <w:lang w:val="de-DE"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style>
  <w:style w:type="paragraph" w:customStyle="1" w:styleId="xmlID">
    <w:name w:val="xmlID"/>
    <w:basedOn w:val="Standard"/>
    <w:pPr>
      <w:spacing w:after="0" w:line="240" w:lineRule="auto"/>
    </w:pPr>
    <w:rPr>
      <w:bCs/>
      <w:color w:val="000000"/>
      <w:sz w:val="24"/>
      <w:szCs w:val="24"/>
      <w:lang w:val="en-GB"/>
    </w:rPr>
  </w:style>
  <w:style w:type="paragraph" w:customStyle="1" w:styleId="author">
    <w:name w:val="author"/>
    <w:basedOn w:val="Standard"/>
    <w:pPr>
      <w:spacing w:after="0" w:line="240" w:lineRule="auto"/>
    </w:pPr>
    <w:rPr>
      <w:color w:val="000000"/>
      <w:sz w:val="24"/>
      <w:szCs w:val="24"/>
      <w:lang w:val="en-GB"/>
    </w:rPr>
  </w:style>
  <w:style w:type="paragraph" w:customStyle="1" w:styleId="imageCopyright">
    <w:name w:val="imageCopyright"/>
    <w:basedOn w:val="Standard"/>
    <w:pPr>
      <w:spacing w:after="0" w:line="240" w:lineRule="auto"/>
    </w:pPr>
    <w:rPr>
      <w:color w:val="000000"/>
      <w:sz w:val="24"/>
      <w:szCs w:val="24"/>
      <w:lang w:val="en-GB"/>
    </w:rPr>
  </w:style>
  <w:style w:type="paragraph" w:customStyle="1" w:styleId="image">
    <w:name w:val="image"/>
    <w:basedOn w:val="Standard"/>
    <w:pPr>
      <w:spacing w:after="0" w:line="240" w:lineRule="auto"/>
    </w:pPr>
    <w:rPr>
      <w:color w:val="FF0000"/>
      <w:sz w:val="24"/>
      <w:szCs w:val="24"/>
      <w:lang w:val="en-GB"/>
    </w:rPr>
  </w:style>
  <w:style w:type="paragraph" w:customStyle="1" w:styleId="locNameEng">
    <w:name w:val="locNameEng"/>
    <w:basedOn w:val="Standard"/>
    <w:pPr>
      <w:spacing w:after="0" w:line="240" w:lineRule="auto"/>
    </w:pPr>
    <w:rPr>
      <w:sz w:val="24"/>
      <w:szCs w:val="24"/>
      <w:lang w:val="en-GB"/>
    </w:rPr>
  </w:style>
  <w:style w:type="paragraph" w:customStyle="1" w:styleId="locNameFusha">
    <w:name w:val="locNameFusha"/>
    <w:basedOn w:val="Standard"/>
    <w:pPr>
      <w:spacing w:after="0" w:line="240" w:lineRule="auto"/>
    </w:pPr>
    <w:rPr>
      <w:sz w:val="24"/>
      <w:szCs w:val="24"/>
      <w:lang w:val="en-GB"/>
    </w:rPr>
  </w:style>
  <w:style w:type="paragraph" w:customStyle="1" w:styleId="locNameFushaAr">
    <w:name w:val="locNameFushaAr"/>
    <w:basedOn w:val="Standard"/>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pPr>
      <w:spacing w:after="0" w:line="240" w:lineRule="auto"/>
    </w:pPr>
    <w:rPr>
      <w:color w:val="FF0000"/>
      <w:sz w:val="24"/>
      <w:szCs w:val="24"/>
      <w:lang w:val="en-GB"/>
    </w:rPr>
  </w:style>
  <w:style w:type="paragraph" w:customStyle="1" w:styleId="geo">
    <w:name w:val="geo"/>
    <w:basedOn w:val="Standard"/>
    <w:pPr>
      <w:shd w:val="clear" w:color="auto" w:fill="FFFFFF"/>
      <w:spacing w:after="0" w:line="240" w:lineRule="auto"/>
    </w:pPr>
    <w:rPr>
      <w:sz w:val="24"/>
      <w:szCs w:val="24"/>
      <w:lang w:val="en-GB"/>
    </w:rPr>
  </w:style>
  <w:style w:type="paragraph" w:customStyle="1" w:styleId="typology">
    <w:name w:val="typology"/>
    <w:basedOn w:val="Standard"/>
    <w:pPr>
      <w:shd w:val="clear" w:color="auto" w:fill="FFFFFF"/>
      <w:spacing w:after="0" w:line="240" w:lineRule="auto"/>
    </w:pPr>
    <w:rPr>
      <w:lang w:val="en-US"/>
    </w:rPr>
  </w:style>
  <w:style w:type="paragraph" w:customStyle="1" w:styleId="typologyGen">
    <w:name w:val="typologyGen"/>
    <w:basedOn w:val="Standard"/>
    <w:pPr>
      <w:shd w:val="clear" w:color="auto" w:fill="FFFFFF"/>
      <w:spacing w:after="0" w:line="240" w:lineRule="auto"/>
    </w:pPr>
    <w:rPr>
      <w:color w:val="000000"/>
      <w:sz w:val="24"/>
      <w:szCs w:val="24"/>
      <w:lang w:val="en-GB"/>
    </w:rPr>
  </w:style>
  <w:style w:type="paragraph" w:customStyle="1" w:styleId="gen">
    <w:name w:val="gen"/>
    <w:basedOn w:val="Standard"/>
    <w:pPr>
      <w:shd w:val="clear" w:color="auto" w:fill="FFFFFF"/>
      <w:spacing w:after="0" w:line="240" w:lineRule="auto"/>
    </w:pPr>
    <w:rPr>
      <w:color w:val="000000"/>
      <w:sz w:val="24"/>
      <w:szCs w:val="24"/>
      <w:lang w:val="en-GB"/>
    </w:rPr>
  </w:style>
  <w:style w:type="paragraph" w:customStyle="1" w:styleId="researchHistory">
    <w:name w:val="researchHistory"/>
    <w:basedOn w:val="Standard"/>
    <w:pPr>
      <w:shd w:val="clear" w:color="auto" w:fill="FFFFFF"/>
      <w:spacing w:after="0" w:line="240" w:lineRule="auto"/>
    </w:pPr>
    <w:rPr>
      <w:color w:val="000000"/>
      <w:sz w:val="24"/>
      <w:szCs w:val="24"/>
      <w:lang w:val="en-GB"/>
    </w:rPr>
  </w:style>
  <w:style w:type="paragraph" w:customStyle="1" w:styleId="dicts">
    <w:name w:val="dicts"/>
    <w:basedOn w:val="Standard"/>
    <w:pPr>
      <w:shd w:val="clear" w:color="auto" w:fill="FFFFFF"/>
      <w:spacing w:after="0" w:line="240" w:lineRule="auto"/>
    </w:pPr>
    <w:rPr>
      <w:color w:val="000000"/>
      <w:sz w:val="24"/>
      <w:szCs w:val="24"/>
      <w:lang w:val="en-GB"/>
    </w:rPr>
  </w:style>
  <w:style w:type="paragraph" w:customStyle="1" w:styleId="textbooks">
    <w:name w:val="textbooks"/>
    <w:basedOn w:val="Standard"/>
    <w:pPr>
      <w:shd w:val="clear" w:color="auto" w:fill="FFFFFF"/>
      <w:spacing w:after="0" w:line="240" w:lineRule="auto"/>
    </w:pPr>
    <w:rPr>
      <w:color w:val="000000"/>
      <w:sz w:val="24"/>
      <w:szCs w:val="24"/>
      <w:lang w:val="en-GB"/>
    </w:rPr>
  </w:style>
  <w:style w:type="paragraph" w:customStyle="1" w:styleId="audio">
    <w:name w:val="audio"/>
    <w:basedOn w:val="Standard"/>
    <w:pPr>
      <w:shd w:val="clear" w:color="auto" w:fill="FFFFFF"/>
      <w:spacing w:after="0" w:line="240" w:lineRule="auto"/>
    </w:pPr>
    <w:rPr>
      <w:lang w:val="en-US"/>
    </w:rPr>
  </w:style>
  <w:style w:type="paragraph" w:customStyle="1" w:styleId="biblio">
    <w:name w:val="biblio"/>
    <w:basedOn w:val="Literaturverzeichnis"/>
    <w:pPr>
      <w:spacing w:after="0" w:line="240" w:lineRule="auto"/>
    </w:pPr>
    <w:rPr>
      <w:lang w:val="en-GB"/>
    </w:rPr>
  </w:style>
  <w:style w:type="paragraph" w:customStyle="1" w:styleId="TableContents">
    <w:name w:val="Table Contents"/>
    <w:basedOn w:val="Standard"/>
    <w:pPr>
      <w:suppressLineNumbers/>
    </w:p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Internetlink">
    <w:name w:val="Internet link"/>
    <w:basedOn w:val="Absatz-Standardschriftart"/>
    <w:rPr>
      <w:color w:val="0563C1"/>
      <w:u w:val="single"/>
    </w:rPr>
  </w:style>
  <w:style w:type="paragraph" w:styleId="Sprechblasentext">
    <w:name w:val="Balloon Text"/>
    <w:basedOn w:val="Standard"/>
    <w:link w:val="SprechblasentextZchn"/>
    <w:uiPriority w:val="99"/>
    <w:semiHidden/>
    <w:unhideWhenUsed/>
    <w:rsid w:val="00C636BA"/>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C636BA"/>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kern w:val="3"/>
        <w:sz w:val="22"/>
        <w:szCs w:val="22"/>
        <w:lang w:val="de-DE"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styleId="Literaturverzeichnis">
    <w:name w:val="Bibliography"/>
    <w:basedOn w:val="Standard"/>
  </w:style>
  <w:style w:type="paragraph" w:customStyle="1" w:styleId="xmlID">
    <w:name w:val="xmlID"/>
    <w:basedOn w:val="Standard"/>
    <w:pPr>
      <w:spacing w:after="0" w:line="240" w:lineRule="auto"/>
    </w:pPr>
    <w:rPr>
      <w:bCs/>
      <w:color w:val="000000"/>
      <w:sz w:val="24"/>
      <w:szCs w:val="24"/>
      <w:lang w:val="en-GB"/>
    </w:rPr>
  </w:style>
  <w:style w:type="paragraph" w:customStyle="1" w:styleId="author">
    <w:name w:val="author"/>
    <w:basedOn w:val="Standard"/>
    <w:pPr>
      <w:spacing w:after="0" w:line="240" w:lineRule="auto"/>
    </w:pPr>
    <w:rPr>
      <w:color w:val="000000"/>
      <w:sz w:val="24"/>
      <w:szCs w:val="24"/>
      <w:lang w:val="en-GB"/>
    </w:rPr>
  </w:style>
  <w:style w:type="paragraph" w:customStyle="1" w:styleId="imageCopyright">
    <w:name w:val="imageCopyright"/>
    <w:basedOn w:val="Standard"/>
    <w:pPr>
      <w:spacing w:after="0" w:line="240" w:lineRule="auto"/>
    </w:pPr>
    <w:rPr>
      <w:color w:val="000000"/>
      <w:sz w:val="24"/>
      <w:szCs w:val="24"/>
      <w:lang w:val="en-GB"/>
    </w:rPr>
  </w:style>
  <w:style w:type="paragraph" w:customStyle="1" w:styleId="image">
    <w:name w:val="image"/>
    <w:basedOn w:val="Standard"/>
    <w:pPr>
      <w:spacing w:after="0" w:line="240" w:lineRule="auto"/>
    </w:pPr>
    <w:rPr>
      <w:color w:val="FF0000"/>
      <w:sz w:val="24"/>
      <w:szCs w:val="24"/>
      <w:lang w:val="en-GB"/>
    </w:rPr>
  </w:style>
  <w:style w:type="paragraph" w:customStyle="1" w:styleId="locNameEng">
    <w:name w:val="locNameEng"/>
    <w:basedOn w:val="Standard"/>
    <w:pPr>
      <w:spacing w:after="0" w:line="240" w:lineRule="auto"/>
    </w:pPr>
    <w:rPr>
      <w:sz w:val="24"/>
      <w:szCs w:val="24"/>
      <w:lang w:val="en-GB"/>
    </w:rPr>
  </w:style>
  <w:style w:type="paragraph" w:customStyle="1" w:styleId="locNameFusha">
    <w:name w:val="locNameFusha"/>
    <w:basedOn w:val="Standard"/>
    <w:pPr>
      <w:spacing w:after="0" w:line="240" w:lineRule="auto"/>
    </w:pPr>
    <w:rPr>
      <w:sz w:val="24"/>
      <w:szCs w:val="24"/>
      <w:lang w:val="en-GB"/>
    </w:rPr>
  </w:style>
  <w:style w:type="paragraph" w:customStyle="1" w:styleId="locNameFushaAr">
    <w:name w:val="locNameFushaAr"/>
    <w:basedOn w:val="Standard"/>
    <w:pPr>
      <w:spacing w:before="100" w:after="100" w:line="240" w:lineRule="auto"/>
      <w:outlineLvl w:val="0"/>
    </w:pPr>
    <w:rPr>
      <w:rFonts w:eastAsia="Times New Roman"/>
      <w:bCs/>
      <w:sz w:val="24"/>
      <w:szCs w:val="24"/>
      <w:lang w:eastAsia="de-DE"/>
    </w:rPr>
  </w:style>
  <w:style w:type="paragraph" w:customStyle="1" w:styleId="locNameLoc">
    <w:name w:val="locNameLoc"/>
    <w:basedOn w:val="Standard"/>
    <w:pPr>
      <w:spacing w:after="0" w:line="240" w:lineRule="auto"/>
    </w:pPr>
    <w:rPr>
      <w:color w:val="FF0000"/>
      <w:sz w:val="24"/>
      <w:szCs w:val="24"/>
      <w:lang w:val="en-GB"/>
    </w:rPr>
  </w:style>
  <w:style w:type="paragraph" w:customStyle="1" w:styleId="geo">
    <w:name w:val="geo"/>
    <w:basedOn w:val="Standard"/>
    <w:pPr>
      <w:shd w:val="clear" w:color="auto" w:fill="FFFFFF"/>
      <w:spacing w:after="0" w:line="240" w:lineRule="auto"/>
    </w:pPr>
    <w:rPr>
      <w:sz w:val="24"/>
      <w:szCs w:val="24"/>
      <w:lang w:val="en-GB"/>
    </w:rPr>
  </w:style>
  <w:style w:type="paragraph" w:customStyle="1" w:styleId="typology">
    <w:name w:val="typology"/>
    <w:basedOn w:val="Standard"/>
    <w:pPr>
      <w:shd w:val="clear" w:color="auto" w:fill="FFFFFF"/>
      <w:spacing w:after="0" w:line="240" w:lineRule="auto"/>
    </w:pPr>
    <w:rPr>
      <w:lang w:val="en-US"/>
    </w:rPr>
  </w:style>
  <w:style w:type="paragraph" w:customStyle="1" w:styleId="typologyGen">
    <w:name w:val="typologyGen"/>
    <w:basedOn w:val="Standard"/>
    <w:pPr>
      <w:shd w:val="clear" w:color="auto" w:fill="FFFFFF"/>
      <w:spacing w:after="0" w:line="240" w:lineRule="auto"/>
    </w:pPr>
    <w:rPr>
      <w:color w:val="000000"/>
      <w:sz w:val="24"/>
      <w:szCs w:val="24"/>
      <w:lang w:val="en-GB"/>
    </w:rPr>
  </w:style>
  <w:style w:type="paragraph" w:customStyle="1" w:styleId="gen">
    <w:name w:val="gen"/>
    <w:basedOn w:val="Standard"/>
    <w:pPr>
      <w:shd w:val="clear" w:color="auto" w:fill="FFFFFF"/>
      <w:spacing w:after="0" w:line="240" w:lineRule="auto"/>
    </w:pPr>
    <w:rPr>
      <w:color w:val="000000"/>
      <w:sz w:val="24"/>
      <w:szCs w:val="24"/>
      <w:lang w:val="en-GB"/>
    </w:rPr>
  </w:style>
  <w:style w:type="paragraph" w:customStyle="1" w:styleId="researchHistory">
    <w:name w:val="researchHistory"/>
    <w:basedOn w:val="Standard"/>
    <w:pPr>
      <w:shd w:val="clear" w:color="auto" w:fill="FFFFFF"/>
      <w:spacing w:after="0" w:line="240" w:lineRule="auto"/>
    </w:pPr>
    <w:rPr>
      <w:color w:val="000000"/>
      <w:sz w:val="24"/>
      <w:szCs w:val="24"/>
      <w:lang w:val="en-GB"/>
    </w:rPr>
  </w:style>
  <w:style w:type="paragraph" w:customStyle="1" w:styleId="dicts">
    <w:name w:val="dicts"/>
    <w:basedOn w:val="Standard"/>
    <w:pPr>
      <w:shd w:val="clear" w:color="auto" w:fill="FFFFFF"/>
      <w:spacing w:after="0" w:line="240" w:lineRule="auto"/>
    </w:pPr>
    <w:rPr>
      <w:color w:val="000000"/>
      <w:sz w:val="24"/>
      <w:szCs w:val="24"/>
      <w:lang w:val="en-GB"/>
    </w:rPr>
  </w:style>
  <w:style w:type="paragraph" w:customStyle="1" w:styleId="textbooks">
    <w:name w:val="textbooks"/>
    <w:basedOn w:val="Standard"/>
    <w:pPr>
      <w:shd w:val="clear" w:color="auto" w:fill="FFFFFF"/>
      <w:spacing w:after="0" w:line="240" w:lineRule="auto"/>
    </w:pPr>
    <w:rPr>
      <w:color w:val="000000"/>
      <w:sz w:val="24"/>
      <w:szCs w:val="24"/>
      <w:lang w:val="en-GB"/>
    </w:rPr>
  </w:style>
  <w:style w:type="paragraph" w:customStyle="1" w:styleId="audio">
    <w:name w:val="audio"/>
    <w:basedOn w:val="Standard"/>
    <w:pPr>
      <w:shd w:val="clear" w:color="auto" w:fill="FFFFFF"/>
      <w:spacing w:after="0" w:line="240" w:lineRule="auto"/>
    </w:pPr>
    <w:rPr>
      <w:lang w:val="en-US"/>
    </w:rPr>
  </w:style>
  <w:style w:type="paragraph" w:customStyle="1" w:styleId="biblio">
    <w:name w:val="biblio"/>
    <w:basedOn w:val="Literaturverzeichnis"/>
    <w:pPr>
      <w:spacing w:after="0" w:line="240" w:lineRule="auto"/>
    </w:pPr>
    <w:rPr>
      <w:lang w:val="en-GB"/>
    </w:rPr>
  </w:style>
  <w:style w:type="paragraph" w:customStyle="1" w:styleId="TableContents">
    <w:name w:val="Table Contents"/>
    <w:basedOn w:val="Standard"/>
    <w:pPr>
      <w:suppressLineNumbers/>
    </w:p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Internetlink">
    <w:name w:val="Internet link"/>
    <w:basedOn w:val="Absatz-Standardschriftart"/>
    <w:rPr>
      <w:color w:val="0563C1"/>
      <w:u w:val="single"/>
    </w:rPr>
  </w:style>
  <w:style w:type="paragraph" w:styleId="Sprechblasentext">
    <w:name w:val="Balloon Text"/>
    <w:basedOn w:val="Standard"/>
    <w:link w:val="SprechblasentextZchn"/>
    <w:uiPriority w:val="99"/>
    <w:semiHidden/>
    <w:unhideWhenUsed/>
    <w:rsid w:val="00C636BA"/>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C636BA"/>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Universitaet Wien</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 Ercegovcevic</dc:creator>
  <cp:lastModifiedBy>Stephan</cp:lastModifiedBy>
  <cp:revision>8</cp:revision>
  <dcterms:created xsi:type="dcterms:W3CDTF">2018-11-20T11:36:00Z</dcterms:created>
  <dcterms:modified xsi:type="dcterms:W3CDTF">2019-01-06T17:41:00Z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