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617" w:rsidRDefault="00721617">
      <w:pPr>
        <w:rPr>
          <w:lang w:val="en-GB"/>
        </w:rPr>
      </w:pPr>
    </w:p>
    <w:p w:rsidR="00721617" w:rsidRDefault="005E7389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721617" w:rsidRDefault="00721617">
      <w:pPr>
        <w:rPr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7715"/>
      </w:tblGrid>
      <w:tr w:rsidR="00721617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771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xmlID"/>
              <w:rPr>
                <w:color w:val="FFFFFF"/>
              </w:rPr>
            </w:pPr>
            <w:r>
              <w:rPr>
                <w:color w:val="FFFFFF"/>
              </w:rPr>
              <w:t>profile_{location}_01</w:t>
            </w:r>
          </w:p>
        </w:tc>
      </w:tr>
      <w:tr w:rsidR="00721617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autho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Aleksandra </w:t>
            </w:r>
            <w:proofErr w:type="spellStart"/>
            <w:r>
              <w:rPr>
                <w:sz w:val="28"/>
                <w:szCs w:val="28"/>
              </w:rPr>
              <w:t>Ercegovčević</w:t>
            </w:r>
            <w:proofErr w:type="spellEnd"/>
          </w:p>
        </w:tc>
      </w:tr>
      <w:tr w:rsidR="00721617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locNameLoc"/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2133752" cy="1600200"/>
                  <wp:effectExtent l="0" t="0" r="0" b="0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52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617" w:rsidRPr="00322823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imageCopyright"/>
            </w:pPr>
            <w:r>
              <w:t>Wikipedia</w:t>
            </w:r>
          </w:p>
          <w:p w:rsidR="00721617" w:rsidRDefault="005E7389">
            <w:pPr>
              <w:pStyle w:val="imageCopyright"/>
            </w:pPr>
            <w:hyperlink r:id="rId7" w:history="1">
              <w:r>
                <w:t>https://en.wikipedia.org/wiki/Palmyra_(modern)#/media/File:City_of_Tadmor,_Syria.jpg</w:t>
              </w:r>
            </w:hyperlink>
          </w:p>
        </w:tc>
      </w:tr>
      <w:tr w:rsidR="00721617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locNameEng"/>
            </w:pPr>
            <w:r>
              <w:t>Palmyra</w:t>
            </w:r>
          </w:p>
        </w:tc>
      </w:tr>
      <w:tr w:rsidR="00721617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4"/>
                <w:szCs w:val="24"/>
                <w:lang w:val="en-GB"/>
              </w:rPr>
              <w:t>Fu</w:t>
            </w:r>
            <w:r>
              <w:rPr>
                <w:color w:val="0070C0"/>
                <w:sz w:val="24"/>
                <w:szCs w:val="24"/>
                <w:lang w:val="en-GB"/>
              </w:rPr>
              <w:t>ṣḥ</w:t>
            </w:r>
            <w:r>
              <w:rPr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>
              <w:rPr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locNameFusha"/>
            </w:pPr>
            <w:proofErr w:type="spellStart"/>
            <w:r>
              <w:t>Tadmur</w:t>
            </w:r>
            <w:proofErr w:type="spellEnd"/>
          </w:p>
        </w:tc>
      </w:tr>
      <w:tr w:rsidR="00721617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4"/>
                <w:szCs w:val="24"/>
                <w:lang w:val="en-GB"/>
              </w:rPr>
              <w:t>Fu</w:t>
            </w:r>
            <w:r>
              <w:rPr>
                <w:color w:val="0070C0"/>
                <w:sz w:val="24"/>
                <w:szCs w:val="24"/>
                <w:lang w:val="en-GB"/>
              </w:rPr>
              <w:t>ṣḥ</w:t>
            </w:r>
            <w:r>
              <w:rPr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>
              <w:rPr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locNameFushaAr"/>
              <w:spacing w:after="0"/>
              <w:rPr>
                <w:rFonts w:ascii="Arial" w:hAnsi="Arial" w:cs="Arial"/>
                <w:b/>
                <w:bCs w:val="0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b/>
                <w:bCs w:val="0"/>
                <w:color w:val="222222"/>
                <w:sz w:val="32"/>
                <w:szCs w:val="32"/>
                <w:rtl/>
              </w:rPr>
              <w:t>تدمر</w:t>
            </w:r>
            <w:r>
              <w:rPr>
                <w:rFonts w:ascii="Arial" w:hAnsi="Arial" w:cs="Arial"/>
                <w:b/>
                <w:bCs w:val="0"/>
                <w:color w:val="222222"/>
                <w:sz w:val="32"/>
                <w:szCs w:val="32"/>
              </w:rPr>
              <w:t> </w:t>
            </w:r>
          </w:p>
        </w:tc>
      </w:tr>
      <w:tr w:rsidR="00721617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locNameLoc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Tudmor</w:t>
            </w:r>
            <w:proofErr w:type="spellEnd"/>
          </w:p>
        </w:tc>
      </w:tr>
      <w:tr w:rsidR="00721617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locNameLoc"/>
              <w:rPr>
                <w:color w:val="000000"/>
              </w:rPr>
            </w:pPr>
            <w:r>
              <w:rPr>
                <w:color w:val="000000"/>
              </w:rPr>
              <w:t>34.64,</w:t>
            </w:r>
          </w:p>
          <w:p w:rsidR="00721617" w:rsidRDefault="005E7389">
            <w:pPr>
              <w:pStyle w:val="locNameLoc"/>
              <w:rPr>
                <w:color w:val="000000"/>
              </w:rPr>
            </w:pPr>
            <w:r>
              <w:rPr>
                <w:color w:val="000000"/>
              </w:rPr>
              <w:t>38.26</w:t>
            </w:r>
          </w:p>
        </w:tc>
      </w:tr>
      <w:tr w:rsidR="00721617" w:rsidRPr="00322823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typolog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 (Mashreq) › Levant › Syria › Oases and Steppe Dialects</w:t>
            </w:r>
          </w:p>
        </w:tc>
      </w:tr>
      <w:tr w:rsidR="00721617" w:rsidRPr="00322823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322823">
            <w:pPr>
              <w:pStyle w:val="typologyGen"/>
            </w:pPr>
            <w:r>
              <w:t xml:space="preserve">Sedentary dialect </w:t>
            </w:r>
            <w:r w:rsidR="005E7389">
              <w:t>with re</w:t>
            </w:r>
            <w:r>
              <w:t>latively few Bedouin influences</w:t>
            </w:r>
            <w:bookmarkStart w:id="0" w:name="_GoBack"/>
            <w:bookmarkEnd w:id="0"/>
          </w:p>
        </w:tc>
      </w:tr>
      <w:tr w:rsidR="00721617" w:rsidRPr="00322823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gen"/>
              <w:jc w:val="both"/>
            </w:pPr>
            <w:r>
              <w:t xml:space="preserve">Palmyra is an oasis in the northern part of the Syrian </w:t>
            </w:r>
            <w:r>
              <w:t>Desert. The ruins of ancient Palmyra are situated about 500 metres southwest of the modern town centre. Ancient Palmyra was a famous commercial city dating back to the Neolithic period.</w:t>
            </w:r>
          </w:p>
          <w:p w:rsidR="00721617" w:rsidRDefault="005E7389">
            <w:pPr>
              <w:pStyle w:val="gen"/>
              <w:jc w:val="both"/>
            </w:pPr>
            <w:r>
              <w:lastRenderedPageBreak/>
              <w:t xml:space="preserve">In 1921, during the French Mandate for Syria and Lebanon, a garrison </w:t>
            </w:r>
            <w:r>
              <w:t xml:space="preserve">fort </w:t>
            </w:r>
            <w:proofErr w:type="gramStart"/>
            <w:r>
              <w:t>was erected</w:t>
            </w:r>
            <w:proofErr w:type="gramEnd"/>
            <w:r>
              <w:t xml:space="preserve"> in the village because Palmyra had become key to French efforts to pacify the Syrian Desert. In </w:t>
            </w:r>
            <w:proofErr w:type="gramStart"/>
            <w:r>
              <w:t>1929</w:t>
            </w:r>
            <w:proofErr w:type="gramEnd"/>
            <w:r>
              <w:t xml:space="preserve"> the villagers were </w:t>
            </w:r>
            <w:proofErr w:type="spellStart"/>
            <w:r>
              <w:t>enduced</w:t>
            </w:r>
            <w:proofErr w:type="spellEnd"/>
            <w:r>
              <w:t xml:space="preserve"> to move to a new, French-built village next to the site.</w:t>
            </w:r>
          </w:p>
          <w:p w:rsidR="00721617" w:rsidRDefault="005E7389">
            <w:pPr>
              <w:pStyle w:val="gen"/>
              <w:jc w:val="both"/>
            </w:pPr>
            <w:r>
              <w:t>Palmyra serves as a centre for Syria’s phosphate minin</w:t>
            </w:r>
            <w:r>
              <w:t>g and natural gas industries. The town has severely suffered from the civil war in Syria, particularly between 2015 and 2017 when it was under the control of ISIS.</w:t>
            </w:r>
          </w:p>
        </w:tc>
      </w:tr>
      <w:tr w:rsidR="00721617" w:rsidRPr="00322823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researchHistory"/>
              <w:jc w:val="both"/>
            </w:pPr>
            <w:proofErr w:type="spellStart"/>
            <w:proofErr w:type="gramStart"/>
            <w:r>
              <w:t>Cantineau</w:t>
            </w:r>
            <w:proofErr w:type="spellEnd"/>
            <w:r>
              <w:t xml:space="preserve"> 1934a and 1934b are still the most comprehensive studies of the</w:t>
            </w:r>
            <w:r>
              <w:t xml:space="preserve"> dialect of Palmyra: the former covers the grammar and includes extensive descriptions of the phonology, morphology, and syntax of the dialect; the latter offers vocabulary and texts, starting with a short glossary on topics like body parts and verbs, foll</w:t>
            </w:r>
            <w:r>
              <w:t>owed by 41 texts describing marriage, building construction, agriculture, and similar subjects.</w:t>
            </w:r>
            <w:proofErr w:type="gramEnd"/>
            <w:r>
              <w:t xml:space="preserve"> The article also includes illustrations of several agricultural tools.</w:t>
            </w:r>
          </w:p>
          <w:p w:rsidR="00721617" w:rsidRDefault="005E7389">
            <w:pPr>
              <w:pStyle w:val="researchHistory"/>
              <w:jc w:val="both"/>
            </w:pPr>
            <w:proofErr w:type="spellStart"/>
            <w:r>
              <w:t>Cantineau</w:t>
            </w:r>
            <w:proofErr w:type="spellEnd"/>
            <w:r>
              <w:t xml:space="preserve"> 1956 is a short article with notes about the dialects of the Syrian oases </w:t>
            </w:r>
            <w:proofErr w:type="spellStart"/>
            <w:r>
              <w:t>Qaritēn</w:t>
            </w:r>
            <w:proofErr w:type="spellEnd"/>
            <w:r>
              <w:t xml:space="preserve">, Palmyra, and </w:t>
            </w:r>
            <w:proofErr w:type="spellStart"/>
            <w:r>
              <w:t>Soukhne</w:t>
            </w:r>
            <w:proofErr w:type="spellEnd"/>
            <w:r>
              <w:t xml:space="preserve">. </w:t>
            </w:r>
            <w:proofErr w:type="spellStart"/>
            <w:r>
              <w:t>Behnstedt</w:t>
            </w:r>
            <w:proofErr w:type="spellEnd"/>
            <w:r>
              <w:t xml:space="preserve"> 2002 offers a collection of texts in dialect, including topics like everyday life, tribes, sheep breeding, and five cooking recipes.</w:t>
            </w:r>
          </w:p>
        </w:tc>
      </w:tr>
      <w:tr w:rsidR="00721617" w:rsidRPr="00322823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dicts"/>
            </w:pPr>
            <w:r>
              <w:t xml:space="preserve">A modest glossary </w:t>
            </w:r>
            <w:proofErr w:type="gramStart"/>
            <w:r>
              <w:t>is found</w:t>
            </w:r>
            <w:proofErr w:type="gramEnd"/>
            <w:r>
              <w:t xml:space="preserve"> in </w:t>
            </w:r>
            <w:proofErr w:type="spellStart"/>
            <w:r>
              <w:t>Cantineau</w:t>
            </w:r>
            <w:proofErr w:type="spellEnd"/>
            <w:r>
              <w:t xml:space="preserve"> 1934b.</w:t>
            </w:r>
          </w:p>
        </w:tc>
      </w:tr>
      <w:tr w:rsidR="00721617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721617">
            <w:pPr>
              <w:pStyle w:val="textbooks"/>
              <w:rPr>
                <w:shd w:val="clear" w:color="auto" w:fill="FFFFFF"/>
              </w:rPr>
            </w:pPr>
          </w:p>
        </w:tc>
      </w:tr>
      <w:tr w:rsidR="00721617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Audio d</w:t>
            </w:r>
            <w:r>
              <w:rPr>
                <w:color w:val="0070C0"/>
                <w:sz w:val="24"/>
                <w:szCs w:val="24"/>
                <w:lang w:val="en-GB"/>
              </w:rPr>
              <w:t>ata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pStyle w:val="audio"/>
              <w:rPr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sz w:val="24"/>
                <w:szCs w:val="24"/>
                <w:shd w:val="clear" w:color="auto" w:fill="FFFFFF"/>
              </w:rPr>
              <w:t>semarch</w:t>
            </w:r>
            <w:proofErr w:type="spellEnd"/>
          </w:p>
        </w:tc>
      </w:tr>
      <w:tr w:rsidR="00721617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721617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721617">
        <w:tblPrEx>
          <w:tblCellMar>
            <w:top w:w="0" w:type="dxa"/>
            <w:bottom w:w="0" w:type="dxa"/>
          </w:tblCellMar>
        </w:tblPrEx>
        <w:tc>
          <w:tcPr>
            <w:tcW w:w="13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617" w:rsidRDefault="005E7389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</w:tbl>
    <w:p w:rsidR="00721617" w:rsidRDefault="00721617"/>
    <w:sectPr w:rsidR="0072161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E7389">
      <w:pPr>
        <w:spacing w:after="0" w:line="240" w:lineRule="auto"/>
      </w:pPr>
      <w:r>
        <w:separator/>
      </w:r>
    </w:p>
  </w:endnote>
  <w:endnote w:type="continuationSeparator" w:id="0">
    <w:p w:rsidR="00000000" w:rsidRDefault="005E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C0" w:rsidRDefault="005E73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C0" w:rsidRDefault="005E73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E738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5E7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C0" w:rsidRDefault="005E73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C0" w:rsidRDefault="005E73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21617"/>
    <w:rsid w:val="00322823"/>
    <w:rsid w:val="005E7389"/>
    <w:rsid w:val="0072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9FA"/>
  <w15:docId w15:val="{BF2CDFC0-94F2-4777-B123-29FE621A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almyra_(modern)#/media/File:City_of_Tadmor,_Syria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2</cp:revision>
  <dcterms:created xsi:type="dcterms:W3CDTF">2018-11-20T11:46:00Z</dcterms:created>
  <dcterms:modified xsi:type="dcterms:W3CDTF">2018-11-20T11:46:00Z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