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CCED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21F717F9" w14:textId="45F1DD9B" w:rsidR="00AE567C" w:rsidRDefault="00663F65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Überblick: </w:t>
      </w:r>
      <w:r w:rsidR="00AE567C">
        <w:rPr>
          <w:b/>
          <w:bCs/>
          <w:u w:val="single"/>
        </w:rPr>
        <w:t>Inter-Annotator-Agreement</w:t>
      </w:r>
    </w:p>
    <w:p w14:paraId="0B143D58" w14:textId="7C72FA7B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451D284B" w14:textId="63FA5740" w:rsidR="00AE567C" w:rsidRDefault="00663F65" w:rsidP="00F26B94">
      <w:pPr>
        <w:pStyle w:val="Listenabsatz"/>
        <w:numPr>
          <w:ilvl w:val="0"/>
          <w:numId w:val="21"/>
        </w:numPr>
        <w:spacing w:after="0" w:line="240" w:lineRule="auto"/>
      </w:pPr>
      <w:r>
        <w:t xml:space="preserve">Kategorisierungen von </w:t>
      </w:r>
      <w:r w:rsidRPr="00663F65">
        <w:t>2898 Keywords verglichen</w:t>
      </w:r>
    </w:p>
    <w:p w14:paraId="4D4B74CE" w14:textId="05CF3B02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 w:rsidRPr="00663F65">
        <w:t>Cohen’s Kappa Coefficient: 0.</w:t>
      </w:r>
      <w:r>
        <w:t xml:space="preserve">55 (= </w:t>
      </w:r>
      <w:r w:rsidRPr="00663F65">
        <w:t>moderate Überei</w:t>
      </w:r>
      <w:r>
        <w:t>nstimmung) – berechnet exakte Übereinstimmung pro Keyword, keine partiellen Übereinstimmungen berücksichtigt</w:t>
      </w:r>
    </w:p>
    <w:p w14:paraId="0AB3F4B4" w14:textId="5A9B8771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>
        <w:t>auf Kategorisierungslevel (1-3 Kategorisierungen pro Keyword</w:t>
      </w:r>
      <w:r w:rsidR="00510503">
        <w:t>, je einzeln überprüft</w:t>
      </w:r>
      <w:r>
        <w:t>):</w:t>
      </w:r>
    </w:p>
    <w:p w14:paraId="2093865C" w14:textId="77777777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Matches: 2182 (62%)</w:t>
      </w:r>
    </w:p>
    <w:p w14:paraId="6FB5F3B3" w14:textId="2B2E0C1D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Mismatches: 1334 (38%)</w:t>
      </w:r>
    </w:p>
    <w:p w14:paraId="6EBF3198" w14:textId="77777777" w:rsidR="00663F65" w:rsidRDefault="00663F65" w:rsidP="00663F65">
      <w:pPr>
        <w:pStyle w:val="Listenabsatz"/>
        <w:numPr>
          <w:ilvl w:val="0"/>
          <w:numId w:val="21"/>
        </w:numPr>
        <w:spacing w:after="0" w:line="240" w:lineRule="auto"/>
      </w:pPr>
      <w:r>
        <w:t xml:space="preserve">   auf Ebene von Keywords:</w:t>
      </w:r>
    </w:p>
    <w:p w14:paraId="603D8544" w14:textId="12CA7589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Matches</w:t>
      </w:r>
      <w:r w:rsidR="00510503">
        <w:t xml:space="preserve"> (= alle Kategorisierungen stimmen überein</w:t>
      </w:r>
      <w:r>
        <w:t>: 1746 Keywords (60,2 %)</w:t>
      </w:r>
    </w:p>
    <w:p w14:paraId="20EDBF0A" w14:textId="5F79F926" w:rsidR="00510503" w:rsidRDefault="00510503" w:rsidP="00510503">
      <w:pPr>
        <w:pStyle w:val="Listenabsatz"/>
        <w:numPr>
          <w:ilvl w:val="1"/>
          <w:numId w:val="21"/>
        </w:numPr>
        <w:spacing w:after="0" w:line="240" w:lineRule="auto"/>
      </w:pPr>
      <w:r>
        <w:t>Partial Matches (= einzelne Kategorisierungen stimmen überein): 415 Keywords (14,3 %)</w:t>
      </w:r>
    </w:p>
    <w:p w14:paraId="1809969D" w14:textId="679AC84A" w:rsidR="00663F65" w:rsidRDefault="00663F65" w:rsidP="00663F65">
      <w:pPr>
        <w:pStyle w:val="Listenabsatz"/>
        <w:numPr>
          <w:ilvl w:val="1"/>
          <w:numId w:val="21"/>
        </w:numPr>
        <w:spacing w:after="0" w:line="240" w:lineRule="auto"/>
      </w:pPr>
      <w:r>
        <w:t>Mismatches</w:t>
      </w:r>
      <w:r w:rsidR="00510503">
        <w:t xml:space="preserve"> (= gar keine Übereinstimmung)</w:t>
      </w:r>
      <w:r>
        <w:t>: 737 Keywords</w:t>
      </w:r>
      <w:r w:rsidR="00510503">
        <w:t xml:space="preserve"> (25,4 %)</w:t>
      </w:r>
    </w:p>
    <w:p w14:paraId="660E3994" w14:textId="77777777" w:rsidR="00663F65" w:rsidRPr="00663F65" w:rsidRDefault="00663F65" w:rsidP="00663F65">
      <w:pPr>
        <w:spacing w:after="0" w:line="240" w:lineRule="auto"/>
        <w:ind w:left="708"/>
      </w:pPr>
    </w:p>
    <w:p w14:paraId="7D764A28" w14:textId="77777777" w:rsidR="00663F65" w:rsidRPr="00663F65" w:rsidRDefault="00663F65" w:rsidP="00663F65">
      <w:pPr>
        <w:pStyle w:val="Listenabsatz"/>
        <w:spacing w:after="0" w:line="240" w:lineRule="auto"/>
      </w:pPr>
    </w:p>
    <w:p w14:paraId="276AAEE4" w14:textId="216C431B" w:rsidR="00AE567C" w:rsidRDefault="00AE567C" w:rsidP="00F26B9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Individuelle Tendenzen in der Kategorisierung</w:t>
      </w:r>
    </w:p>
    <w:p w14:paraId="16B96C47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3C5CF241" w14:textId="1FC415E7" w:rsidR="00AE567C" w:rsidRPr="0013739A" w:rsidRDefault="0013739A" w:rsidP="00F26B94">
      <w:pPr>
        <w:spacing w:after="0" w:line="240" w:lineRule="auto"/>
        <w:rPr>
          <w:b/>
          <w:bCs/>
        </w:rPr>
      </w:pPr>
      <w:r w:rsidRPr="0013739A">
        <w:rPr>
          <w:b/>
          <w:bCs/>
          <w:noProof/>
        </w:rPr>
        <w:drawing>
          <wp:inline distT="0" distB="0" distL="0" distR="0" wp14:anchorId="1DEBC286" wp14:editId="6C414737">
            <wp:extent cx="4088350" cy="2830570"/>
            <wp:effectExtent l="0" t="0" r="7620" b="8255"/>
            <wp:docPr id="1942629963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9963" name="Grafik 1" descr="Ein Bild, das Text, Screenshot, Schrift, Diagram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60" cy="28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39A">
        <w:rPr>
          <w:b/>
          <w:bCs/>
          <w:noProof/>
        </w:rPr>
        <w:drawing>
          <wp:inline distT="0" distB="0" distL="0" distR="0" wp14:anchorId="4088F730" wp14:editId="07637781">
            <wp:extent cx="4134379" cy="2862438"/>
            <wp:effectExtent l="0" t="0" r="0" b="0"/>
            <wp:docPr id="1076783327" name="Grafik 2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83327" name="Grafik 2" descr="Ein Bild, das Text, Screenshot, Schrift, Diagramm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71" cy="28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717A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70257D60" w14:textId="1F5F6C46" w:rsidR="001647CA" w:rsidRDefault="001647CA" w:rsidP="00F26B94">
      <w:pPr>
        <w:spacing w:after="0" w:line="240" w:lineRule="auto"/>
        <w:rPr>
          <w:b/>
          <w:bCs/>
          <w:u w:val="single"/>
        </w:rPr>
      </w:pPr>
      <w:r w:rsidRPr="00306CD6">
        <w:rPr>
          <w:b/>
          <w:bCs/>
          <w:u w:val="single"/>
        </w:rPr>
        <w:lastRenderedPageBreak/>
        <w:t>Problemfälle / Beobachtungen</w:t>
      </w:r>
    </w:p>
    <w:p w14:paraId="5B7B722D" w14:textId="77777777" w:rsidR="00AE567C" w:rsidRDefault="00AE567C" w:rsidP="00F26B94">
      <w:pPr>
        <w:spacing w:after="0" w:line="240" w:lineRule="auto"/>
        <w:rPr>
          <w:b/>
          <w:bCs/>
          <w:u w:val="single"/>
        </w:rPr>
      </w:pPr>
    </w:p>
    <w:p w14:paraId="62E38E8D" w14:textId="368DD6CB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Topic als sekundäre Kategorie?</w:t>
      </w:r>
    </w:p>
    <w:p w14:paraId="482D0968" w14:textId="36627A81" w:rsidR="00AE567C" w:rsidRDefault="00AE567C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Topic nur dann vergeben, wenn keine andere Kategorisierung möglich?</w:t>
      </w:r>
    </w:p>
    <w:p w14:paraId="6A71B20B" w14:textId="5175B36C" w:rsidR="00F26B94" w:rsidRDefault="00F26B94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unklare Grenzen zwischen „method/activity“ and „topic“</w:t>
      </w:r>
    </w:p>
    <w:p w14:paraId="411DA23B" w14:textId="6C8251A2" w:rsidR="008E45F2" w:rsidRPr="008E45F2" w:rsidRDefault="00F26B94" w:rsidP="008E45F2">
      <w:pPr>
        <w:pStyle w:val="Listenabsatz"/>
        <w:numPr>
          <w:ilvl w:val="1"/>
          <w:numId w:val="12"/>
        </w:numPr>
        <w:spacing w:after="0" w:line="240" w:lineRule="auto"/>
        <w:rPr>
          <w:lang w:val="en-US"/>
        </w:rPr>
      </w:pPr>
      <w:r w:rsidRPr="008E45F2">
        <w:rPr>
          <w:lang w:val="en-US"/>
        </w:rPr>
        <w:t xml:space="preserve">z.B. </w:t>
      </w:r>
      <w:r w:rsidRPr="004D62AE">
        <w:rPr>
          <w:i/>
          <w:iCs/>
          <w:lang w:val="en-US"/>
        </w:rPr>
        <w:t>historical gis,</w:t>
      </w:r>
      <w:r w:rsidR="008E45F2" w:rsidRPr="004D62AE">
        <w:rPr>
          <w:i/>
          <w:iCs/>
          <w:lang w:val="en-US"/>
        </w:rPr>
        <w:t xml:space="preserve"> discovery, academic publication</w:t>
      </w:r>
    </w:p>
    <w:p w14:paraId="7CC01AE9" w14:textId="6FEE6DC9" w:rsidR="00F26B94" w:rsidRDefault="00F26B94" w:rsidP="00F26B94">
      <w:pPr>
        <w:pStyle w:val="Listenabsatz"/>
        <w:numPr>
          <w:ilvl w:val="0"/>
          <w:numId w:val="12"/>
        </w:numPr>
        <w:spacing w:after="0" w:line="240" w:lineRule="auto"/>
      </w:pPr>
      <w:r>
        <w:t>unklare Grenzen zwischen „discipline“ und „topic“ (und „method/activity“)</w:t>
      </w:r>
    </w:p>
    <w:p w14:paraId="7441C3E9" w14:textId="42D8D661" w:rsidR="00F26B94" w:rsidRPr="00F26B94" w:rsidRDefault="00F26B94" w:rsidP="00F26B94">
      <w:pPr>
        <w:pStyle w:val="Listenabsatz"/>
        <w:numPr>
          <w:ilvl w:val="1"/>
          <w:numId w:val="12"/>
        </w:numPr>
        <w:spacing w:after="0" w:line="240" w:lineRule="auto"/>
        <w:rPr>
          <w:lang w:val="en-US"/>
        </w:rPr>
      </w:pPr>
      <w:r w:rsidRPr="00F26B94">
        <w:rPr>
          <w:lang w:val="en-US"/>
        </w:rPr>
        <w:t xml:space="preserve">z.B. </w:t>
      </w:r>
      <w:r w:rsidRPr="008E45F2">
        <w:rPr>
          <w:i/>
          <w:iCs/>
          <w:lang w:val="en-US"/>
        </w:rPr>
        <w:t>social computing, islamic history, spatial humanities, data management,</w:t>
      </w:r>
      <w:r w:rsidR="008E45F2" w:rsidRPr="008E45F2">
        <w:rPr>
          <w:i/>
          <w:iCs/>
          <w:lang w:val="en-US"/>
        </w:rPr>
        <w:t xml:space="preserve"> medieval brain anatomy</w:t>
      </w:r>
      <w:r w:rsidR="008E45F2">
        <w:rPr>
          <w:lang w:val="en-US"/>
        </w:rPr>
        <w:t xml:space="preserve">, </w:t>
      </w:r>
      <w:r w:rsidR="008E45F2" w:rsidRPr="008E45F2">
        <w:rPr>
          <w:i/>
          <w:iCs/>
          <w:lang w:val="en-US"/>
        </w:rPr>
        <w:t>narratology</w:t>
      </w:r>
      <w:r w:rsidR="008E45F2">
        <w:rPr>
          <w:i/>
          <w:iCs/>
          <w:lang w:val="en-US"/>
        </w:rPr>
        <w:t>, diplomatie</w:t>
      </w:r>
      <w:r w:rsidR="003711C2">
        <w:rPr>
          <w:i/>
          <w:iCs/>
          <w:lang w:val="en-US"/>
        </w:rPr>
        <w:t>, compling</w:t>
      </w:r>
    </w:p>
    <w:p w14:paraId="7F704F69" w14:textId="77777777" w:rsidR="001647CA" w:rsidRPr="00F26B94" w:rsidRDefault="001647CA" w:rsidP="00F26B94">
      <w:pPr>
        <w:spacing w:after="0" w:line="240" w:lineRule="auto"/>
        <w:rPr>
          <w:lang w:val="en-US"/>
        </w:rPr>
      </w:pPr>
    </w:p>
    <w:p w14:paraId="34D4FEE8" w14:textId="55D666C1" w:rsidR="005579C1" w:rsidRPr="005579C1" w:rsidRDefault="005579C1" w:rsidP="00F26B94">
      <w:pPr>
        <w:spacing w:after="0" w:line="240" w:lineRule="auto"/>
        <w:rPr>
          <w:b/>
          <w:bCs/>
          <w:lang w:val="en-US"/>
        </w:rPr>
      </w:pPr>
      <w:r w:rsidRPr="005579C1">
        <w:rPr>
          <w:b/>
          <w:bCs/>
          <w:lang w:val="en-US"/>
        </w:rPr>
        <w:t>Zusammenführen von „too specific“, „too broad/unspecific“ und “unclear” zu “not categorizable”</w:t>
      </w:r>
      <w:r w:rsidR="008E45F2">
        <w:rPr>
          <w:b/>
          <w:bCs/>
          <w:lang w:val="en-US"/>
        </w:rPr>
        <w:t xml:space="preserve"> sinnvoll?</w:t>
      </w:r>
    </w:p>
    <w:p w14:paraId="371DF27C" w14:textId="13027202" w:rsidR="005579C1" w:rsidRDefault="005579C1" w:rsidP="00F26B94">
      <w:pPr>
        <w:pStyle w:val="Listenabsatz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Hintergrund: letztlich alle irrelevant</w:t>
      </w:r>
    </w:p>
    <w:p w14:paraId="436E207C" w14:textId="77777777" w:rsidR="003711C2" w:rsidRDefault="003711C2" w:rsidP="003711C2">
      <w:pPr>
        <w:spacing w:after="0" w:line="240" w:lineRule="auto"/>
        <w:rPr>
          <w:lang w:val="en-US"/>
        </w:rPr>
      </w:pPr>
    </w:p>
    <w:p w14:paraId="4BD560FC" w14:textId="2DBB65AB" w:rsidR="003711C2" w:rsidRPr="003711C2" w:rsidRDefault="003711C2" w:rsidP="003711C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einzelne Tags als Ausschluss anderer Kategorien verstehen?</w:t>
      </w:r>
    </w:p>
    <w:p w14:paraId="4A61F636" w14:textId="0ADF027A" w:rsidR="003711C2" w:rsidRPr="003711C2" w:rsidRDefault="003711C2" w:rsidP="003711C2">
      <w:pPr>
        <w:pStyle w:val="Listenabsatz"/>
        <w:numPr>
          <w:ilvl w:val="0"/>
          <w:numId w:val="19"/>
        </w:numPr>
        <w:spacing w:after="0" w:line="240" w:lineRule="auto"/>
      </w:pPr>
      <w:r w:rsidRPr="003711C2">
        <w:t xml:space="preserve">„not categorizable“ and „multiple tags” </w:t>
      </w:r>
      <w:r w:rsidRPr="003711C2">
        <w:rPr>
          <w:lang w:val="en-US"/>
        </w:rPr>
        <w:sym w:font="Wingdings" w:char="F0E0"/>
      </w:r>
      <w:r w:rsidRPr="003711C2">
        <w:t xml:space="preserve"> hier dürfen keine weiteren T</w:t>
      </w:r>
      <w:r>
        <w:t>ags vergeben werden</w:t>
      </w:r>
    </w:p>
    <w:p w14:paraId="24A12D0D" w14:textId="77777777" w:rsidR="005579C1" w:rsidRPr="003711C2" w:rsidRDefault="005579C1" w:rsidP="00F26B94">
      <w:pPr>
        <w:pStyle w:val="Listenabsatz"/>
        <w:spacing w:after="0" w:line="240" w:lineRule="auto"/>
      </w:pPr>
    </w:p>
    <w:p w14:paraId="3600FE9D" w14:textId="136ADA74" w:rsidR="001647CA" w:rsidRPr="00306CD6" w:rsidRDefault="00F26B94" w:rsidP="00F26B94">
      <w:pPr>
        <w:spacing w:after="0" w:line="240" w:lineRule="auto"/>
        <w:rPr>
          <w:b/>
          <w:bCs/>
        </w:rPr>
      </w:pPr>
      <w:r>
        <w:rPr>
          <w:b/>
          <w:bCs/>
        </w:rPr>
        <w:t>Generalisierungen vs. Entitäten</w:t>
      </w:r>
      <w:r w:rsidR="008E45F2">
        <w:rPr>
          <w:b/>
          <w:bCs/>
        </w:rPr>
        <w:t>/Klasse</w:t>
      </w:r>
    </w:p>
    <w:p w14:paraId="1BEBB715" w14:textId="18D97DE2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1647CA">
        <w:rPr>
          <w:i/>
          <w:iCs/>
          <w:lang w:val="en-US"/>
        </w:rPr>
        <w:t>immigrants</w:t>
      </w:r>
      <w:r w:rsidRPr="001647CA">
        <w:rPr>
          <w:lang w:val="en-US"/>
        </w:rPr>
        <w:t xml:space="preserve"> </w:t>
      </w:r>
      <w:r>
        <w:sym w:font="Wingdings" w:char="F0E0"/>
      </w:r>
      <w:r w:rsidRPr="001647CA">
        <w:rPr>
          <w:lang w:val="en-US"/>
        </w:rPr>
        <w:t xml:space="preserve"> topic</w:t>
      </w:r>
      <w:r>
        <w:rPr>
          <w:lang w:val="en-US"/>
        </w:rPr>
        <w:t xml:space="preserve"> vs. </w:t>
      </w:r>
      <w:r w:rsidRPr="001647CA">
        <w:rPr>
          <w:lang w:val="en-US"/>
        </w:rPr>
        <w:t>entity (person)</w:t>
      </w:r>
    </w:p>
    <w:p w14:paraId="64E226CC" w14:textId="4CBCA9B3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african languages</w:t>
      </w:r>
      <w:r w:rsidR="00F26B94">
        <w:rPr>
          <w:i/>
          <w:iCs/>
          <w:lang w:val="en-US"/>
        </w:rPr>
        <w:t>, historical language</w:t>
      </w:r>
      <w:r>
        <w:rPr>
          <w:i/>
          <w:iCs/>
          <w:lang w:val="en-US"/>
        </w:rPr>
        <w:t xml:space="preserve"> </w:t>
      </w:r>
      <w:r w:rsidRPr="001647CA">
        <w:rPr>
          <w:lang w:val="en-US"/>
        </w:rPr>
        <w:sym w:font="Wingdings" w:char="F0E0"/>
      </w:r>
      <w:r>
        <w:rPr>
          <w:lang w:val="en-US"/>
        </w:rPr>
        <w:t xml:space="preserve"> topic vs. language</w:t>
      </w:r>
    </w:p>
    <w:p w14:paraId="378261D3" w14:textId="0AF264D1" w:rsidR="001647CA" w:rsidRDefault="001647CA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church, prison</w:t>
      </w:r>
      <w:r w:rsidR="008E45F2">
        <w:rPr>
          <w:lang w:val="en-US"/>
        </w:rPr>
        <w:t xml:space="preserve">, </w:t>
      </w:r>
      <w:r w:rsidR="008E45F2" w:rsidRPr="008E45F2">
        <w:rPr>
          <w:i/>
          <w:iCs/>
          <w:lang w:val="en-US"/>
        </w:rPr>
        <w:t>libraries</w:t>
      </w:r>
      <w:r w:rsidR="008E45F2">
        <w:rPr>
          <w:lang w:val="en-US"/>
        </w:rPr>
        <w:t xml:space="preserve"> </w:t>
      </w:r>
      <w:r w:rsidRPr="001647CA">
        <w:rPr>
          <w:lang w:val="en-US"/>
        </w:rPr>
        <w:sym w:font="Wingdings" w:char="F0E0"/>
      </w:r>
      <w:r>
        <w:rPr>
          <w:lang w:val="en-US"/>
        </w:rPr>
        <w:t xml:space="preserve"> topic vs. entity (place)</w:t>
      </w:r>
    </w:p>
    <w:p w14:paraId="768612C1" w14:textId="4D52B51A" w:rsidR="00AE567C" w:rsidRDefault="00F26B94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parser, pos-tagger</w:t>
      </w:r>
      <w:r w:rsidR="003711C2">
        <w:rPr>
          <w:lang w:val="en-US"/>
        </w:rPr>
        <w:t xml:space="preserve">, </w:t>
      </w:r>
      <w:r w:rsidR="003711C2" w:rsidRPr="003711C2">
        <w:rPr>
          <w:i/>
          <w:iCs/>
          <w:lang w:val="en-US"/>
        </w:rPr>
        <w:t>publishing tools</w:t>
      </w:r>
      <w:r w:rsidR="003711C2"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topic vs. resource</w:t>
      </w:r>
      <w:r w:rsidR="008E45F2">
        <w:rPr>
          <w:lang w:val="en-US"/>
        </w:rPr>
        <w:t>/tool</w:t>
      </w:r>
    </w:p>
    <w:p w14:paraId="2B41853A" w14:textId="4AC9ECAA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long-term projects on cultural heritage</w:t>
      </w:r>
      <w:r>
        <w:rPr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(project)</w:t>
      </w:r>
    </w:p>
    <w:p w14:paraId="534E7C5B" w14:textId="5B025725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pandemic, audio conference</w:t>
      </w:r>
      <w:r w:rsidR="003711C2">
        <w:rPr>
          <w:i/>
          <w:iCs/>
          <w:lang w:val="en-US"/>
        </w:rPr>
        <w:t>, conferences</w:t>
      </w:r>
      <w:r>
        <w:rPr>
          <w:i/>
          <w:iCs/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(event)</w:t>
      </w:r>
    </w:p>
    <w:p w14:paraId="28D4AEEC" w14:textId="70DDCA3B" w:rsidR="008E45F2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i/>
          <w:iCs/>
          <w:lang w:val="en-US"/>
        </w:rPr>
        <w:t>organisation</w:t>
      </w:r>
      <w:r>
        <w:rPr>
          <w:lang w:val="en-US"/>
        </w:rPr>
        <w:t xml:space="preserve"> </w:t>
      </w:r>
      <w:r w:rsidRPr="008E45F2">
        <w:rPr>
          <w:lang w:val="en-US"/>
        </w:rPr>
        <w:sym w:font="Wingdings" w:char="F0E0"/>
      </w:r>
      <w:r>
        <w:rPr>
          <w:lang w:val="en-US"/>
        </w:rPr>
        <w:t xml:space="preserve"> topic vs. entity (institution/organisation/brand)</w:t>
      </w:r>
    </w:p>
    <w:p w14:paraId="075EFB4F" w14:textId="210A80A9" w:rsidR="008E45F2" w:rsidRPr="001647CA" w:rsidRDefault="008E45F2" w:rsidP="00F26B94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individuelle Tendenzen:</w:t>
      </w:r>
    </w:p>
    <w:p w14:paraId="1E03FBE0" w14:textId="0BF30395" w:rsidR="001647CA" w:rsidRDefault="001647CA" w:rsidP="008E45F2">
      <w:pPr>
        <w:pStyle w:val="Listenabsatz"/>
        <w:numPr>
          <w:ilvl w:val="1"/>
          <w:numId w:val="5"/>
        </w:numPr>
        <w:spacing w:after="0" w:line="240" w:lineRule="auto"/>
      </w:pPr>
      <w:r>
        <w:t>Nina: „entity“ nur im Sinne benannter, eindeutiger identifizierbarer Entitäten, ansonsten „topic“</w:t>
      </w:r>
    </w:p>
    <w:p w14:paraId="34BD7185" w14:textId="19A63A30" w:rsidR="001647CA" w:rsidRDefault="001647CA" w:rsidP="008E45F2">
      <w:pPr>
        <w:pStyle w:val="Listenabsatz"/>
        <w:numPr>
          <w:ilvl w:val="1"/>
          <w:numId w:val="5"/>
        </w:numPr>
        <w:spacing w:after="0" w:line="240" w:lineRule="auto"/>
      </w:pPr>
      <w:r>
        <w:t xml:space="preserve">Martin: aktuell „entity“ </w:t>
      </w:r>
      <w:r w:rsidR="008E45F2">
        <w:t xml:space="preserve">etc. </w:t>
      </w:r>
      <w:r>
        <w:t>auch für generalisierte Gruppen/Orte etc. verwendet</w:t>
      </w:r>
    </w:p>
    <w:p w14:paraId="3CBCB726" w14:textId="77777777" w:rsidR="003711C2" w:rsidRDefault="003711C2" w:rsidP="003711C2">
      <w:pPr>
        <w:spacing w:after="0" w:line="240" w:lineRule="auto"/>
      </w:pPr>
    </w:p>
    <w:p w14:paraId="0D97DB55" w14:textId="77777777" w:rsidR="003711C2" w:rsidRPr="003711C2" w:rsidRDefault="003711C2" w:rsidP="003711C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Unklare Spezifizitätsgrenzen</w:t>
      </w:r>
    </w:p>
    <w:p w14:paraId="15C60A72" w14:textId="77777777" w:rsid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</w:pPr>
      <w:r>
        <w:t>Wann ist etwas „too broad/unspecific“ und wann (noch) nicht?</w:t>
      </w:r>
    </w:p>
    <w:p w14:paraId="698B8497" w14:textId="77777777" w:rsidR="003711C2" w:rsidRP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 w:rsidRPr="003711C2">
        <w:rPr>
          <w:lang w:val="en-US"/>
        </w:rPr>
        <w:t xml:space="preserve">z.B. </w:t>
      </w:r>
      <w:r w:rsidRPr="003711C2">
        <w:rPr>
          <w:i/>
          <w:iCs/>
          <w:lang w:val="en-US"/>
        </w:rPr>
        <w:t>o</w:t>
      </w:r>
      <w:r>
        <w:rPr>
          <w:i/>
          <w:iCs/>
          <w:lang w:val="en-US"/>
        </w:rPr>
        <w:t>th</w:t>
      </w:r>
      <w:r w:rsidRPr="003711C2">
        <w:rPr>
          <w:i/>
          <w:iCs/>
          <w:lang w:val="en-US"/>
        </w:rPr>
        <w:t>er social sciences, other disciplines</w:t>
      </w:r>
    </w:p>
    <w:p w14:paraId="7BF553AC" w14:textId="02A14D65" w:rsidR="003711C2" w:rsidRPr="003711C2" w:rsidRDefault="003711C2" w:rsidP="003711C2">
      <w:pPr>
        <w:pStyle w:val="Listenabsatz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Nina: “too broad/unspecific”, Martin: “discipline”</w:t>
      </w:r>
    </w:p>
    <w:p w14:paraId="4E133325" w14:textId="77777777" w:rsidR="001647CA" w:rsidRPr="003711C2" w:rsidRDefault="001647CA" w:rsidP="00F26B94">
      <w:pPr>
        <w:spacing w:after="0" w:line="240" w:lineRule="auto"/>
        <w:rPr>
          <w:lang w:val="en-US"/>
        </w:rPr>
      </w:pPr>
    </w:p>
    <w:p w14:paraId="46B5DA01" w14:textId="2FE06CC7" w:rsidR="001647CA" w:rsidRDefault="001647CA" w:rsidP="00F26B94">
      <w:pPr>
        <w:spacing w:after="0" w:line="240" w:lineRule="auto"/>
      </w:pPr>
      <w:r w:rsidRPr="001647CA">
        <w:rPr>
          <w:b/>
          <w:bCs/>
        </w:rPr>
        <w:t xml:space="preserve">Zusammenfall verschiedener Informationen </w:t>
      </w:r>
      <w:r w:rsidR="00F26B94">
        <w:rPr>
          <w:b/>
          <w:bCs/>
        </w:rPr>
        <w:t>in einem Keyword</w:t>
      </w:r>
    </w:p>
    <w:p w14:paraId="18B59F0A" w14:textId="5469D9E6" w:rsidR="001647CA" w:rsidRPr="00F26B94" w:rsidRDefault="001647CA" w:rsidP="00F26B94">
      <w:pPr>
        <w:pStyle w:val="Listenabsatz"/>
        <w:numPr>
          <w:ilvl w:val="0"/>
          <w:numId w:val="16"/>
        </w:numPr>
        <w:spacing w:after="0" w:line="240" w:lineRule="auto"/>
        <w:rPr>
          <w:i/>
          <w:iCs/>
          <w:lang w:val="en-US"/>
        </w:rPr>
      </w:pPr>
      <w:r w:rsidRPr="00F26B94">
        <w:rPr>
          <w:lang w:val="en-US"/>
        </w:rPr>
        <w:t xml:space="preserve">z.B. </w:t>
      </w:r>
      <w:r w:rsidRPr="00F26B94">
        <w:rPr>
          <w:i/>
          <w:iCs/>
          <w:lang w:val="en-US"/>
        </w:rPr>
        <w:t>english literature, 18</w:t>
      </w:r>
      <w:r w:rsidRPr="00F26B94">
        <w:rPr>
          <w:i/>
          <w:iCs/>
          <w:vertAlign w:val="superscript"/>
          <w:lang w:val="en-US"/>
        </w:rPr>
        <w:t>th</w:t>
      </w:r>
      <w:r w:rsidRPr="00F26B94">
        <w:rPr>
          <w:i/>
          <w:iCs/>
          <w:lang w:val="en-US"/>
        </w:rPr>
        <w:t xml:space="preserve"> century french literature, dutch literature</w:t>
      </w:r>
    </w:p>
    <w:p w14:paraId="24A94BAB" w14:textId="79CB14C4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object-type (“literature”)</w:t>
      </w:r>
    </w:p>
    <w:p w14:paraId="3F4FED41" w14:textId="7D3BE6B8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language (“english”, “french”, “dutch”)</w:t>
      </w:r>
    </w:p>
    <w:p w14:paraId="57A7FF93" w14:textId="7EE15CD9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entity (place) (“english”, “french”, “dutch”) </w:t>
      </w:r>
    </w:p>
    <w:p w14:paraId="7C6F821A" w14:textId="26DD619F" w:rsidR="001647CA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topic</w:t>
      </w:r>
    </w:p>
    <w:p w14:paraId="5DB20A68" w14:textId="1DA200B7" w:rsidR="00F26B94" w:rsidRDefault="001647CA" w:rsidP="00F26B94">
      <w:pPr>
        <w:pStyle w:val="Listenabsatz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multiple tags</w:t>
      </w:r>
    </w:p>
    <w:p w14:paraId="4C2644F3" w14:textId="7C874475" w:rsidR="00F26B94" w:rsidRPr="00F26B94" w:rsidRDefault="00F26B94" w:rsidP="00F26B94">
      <w:pPr>
        <w:pStyle w:val="Listenabsatz"/>
        <w:numPr>
          <w:ilvl w:val="0"/>
          <w:numId w:val="16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z.B. </w:t>
      </w:r>
      <w:r w:rsidRPr="00F26B94">
        <w:rPr>
          <w:i/>
          <w:iCs/>
          <w:lang w:val="en-US"/>
        </w:rPr>
        <w:t>historical geography, bulgarian history</w:t>
      </w:r>
    </w:p>
    <w:p w14:paraId="10B72395" w14:textId="49792F98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</w:pPr>
      <w:r w:rsidRPr="00F26B94">
        <w:t>Nina: nicht aufgesplittet vs. M</w:t>
      </w:r>
      <w:r>
        <w:t>artin: aufgesplittet</w:t>
      </w:r>
    </w:p>
    <w:p w14:paraId="79357B53" w14:textId="604E97F3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  <w:rPr>
          <w:lang w:val="en-US"/>
        </w:rPr>
      </w:pPr>
      <w:r w:rsidRPr="00F26B94">
        <w:rPr>
          <w:lang w:val="en-US"/>
        </w:rPr>
        <w:t xml:space="preserve">historical geography </w:t>
      </w:r>
      <w:r>
        <w:sym w:font="Wingdings" w:char="F0E0"/>
      </w:r>
      <w:r w:rsidRPr="00F26B94">
        <w:rPr>
          <w:lang w:val="en-US"/>
        </w:rPr>
        <w:t xml:space="preserve"> discipline + time p</w:t>
      </w:r>
      <w:r>
        <w:rPr>
          <w:lang w:val="en-US"/>
        </w:rPr>
        <w:t>eriod?</w:t>
      </w:r>
    </w:p>
    <w:p w14:paraId="19D3E157" w14:textId="54F3F605" w:rsidR="00F26B94" w:rsidRDefault="00F26B94" w:rsidP="00F26B94">
      <w:pPr>
        <w:pStyle w:val="Listenabsatz"/>
        <w:numPr>
          <w:ilvl w:val="1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bulgarian history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discipline + place?</w:t>
      </w:r>
    </w:p>
    <w:p w14:paraId="4E479D63" w14:textId="4FCFB60B" w:rsidR="003711C2" w:rsidRDefault="003711C2" w:rsidP="003711C2">
      <w:pPr>
        <w:pStyle w:val="Listenabsatz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z.B. </w:t>
      </w:r>
      <w:r w:rsidRPr="003711C2">
        <w:rPr>
          <w:i/>
          <w:iCs/>
          <w:lang w:val="en-US"/>
        </w:rPr>
        <w:t>history matters</w:t>
      </w:r>
      <w:r>
        <w:rPr>
          <w:lang w:val="en-US"/>
        </w:rPr>
        <w:t xml:space="preserve"> </w:t>
      </w:r>
      <w:r w:rsidRPr="003711C2">
        <w:rPr>
          <w:lang w:val="en-US"/>
        </w:rPr>
        <w:sym w:font="Wingdings" w:char="F0E0"/>
      </w:r>
      <w:r>
        <w:rPr>
          <w:lang w:val="en-US"/>
        </w:rPr>
        <w:t xml:space="preserve"> discipline + topic?</w:t>
      </w:r>
    </w:p>
    <w:p w14:paraId="3EE7BF71" w14:textId="1C517D35" w:rsidR="001647CA" w:rsidRPr="008E45F2" w:rsidRDefault="001647CA" w:rsidP="008E45F2">
      <w:pPr>
        <w:pStyle w:val="Listenabsatz"/>
        <w:spacing w:after="0" w:line="240" w:lineRule="auto"/>
        <w:rPr>
          <w:lang w:val="en-US"/>
        </w:rPr>
      </w:pPr>
    </w:p>
    <w:p w14:paraId="3C895FEA" w14:textId="7775AE61" w:rsidR="001647CA" w:rsidRPr="001647CA" w:rsidRDefault="001647CA" w:rsidP="00F26B94">
      <w:pPr>
        <w:spacing w:after="0" w:line="240" w:lineRule="auto"/>
        <w:rPr>
          <w:b/>
          <w:bCs/>
        </w:rPr>
      </w:pPr>
      <w:r w:rsidRPr="001647CA">
        <w:rPr>
          <w:b/>
          <w:bCs/>
        </w:rPr>
        <w:t>Fachtermini benötigen Hintergrundwissen für Einordnung</w:t>
      </w:r>
    </w:p>
    <w:p w14:paraId="5A7BEEC1" w14:textId="03893EC8" w:rsidR="00946AB3" w:rsidRPr="00F26B94" w:rsidRDefault="001647CA" w:rsidP="00F26B94">
      <w:pPr>
        <w:pStyle w:val="Listenabsatz"/>
        <w:numPr>
          <w:ilvl w:val="0"/>
          <w:numId w:val="10"/>
        </w:numPr>
        <w:spacing w:after="0" w:line="240" w:lineRule="auto"/>
        <w:rPr>
          <w:i/>
          <w:iCs/>
          <w:lang w:val="en-US"/>
        </w:rPr>
      </w:pPr>
      <w:r w:rsidRPr="00946AB3">
        <w:rPr>
          <w:lang w:val="en-US"/>
        </w:rPr>
        <w:t xml:space="preserve">z.B. </w:t>
      </w:r>
      <w:r w:rsidRPr="00946AB3">
        <w:rPr>
          <w:i/>
          <w:iCs/>
          <w:lang w:val="en-US"/>
        </w:rPr>
        <w:t>code switching, code mixing</w:t>
      </w:r>
      <w:r w:rsidR="00946AB3">
        <w:rPr>
          <w:lang w:val="en-US"/>
        </w:rPr>
        <w:t xml:space="preserve"> </w:t>
      </w:r>
      <w:r w:rsidR="00946AB3" w:rsidRPr="00946AB3">
        <w:rPr>
          <w:lang w:val="en-US"/>
        </w:rPr>
        <w:sym w:font="Wingdings" w:char="F0E0"/>
      </w:r>
      <w:r w:rsidR="00946AB3">
        <w:rPr>
          <w:lang w:val="en-US"/>
        </w:rPr>
        <w:t xml:space="preserve"> topic NOT method/activity</w:t>
      </w:r>
    </w:p>
    <w:p w14:paraId="2A199161" w14:textId="30FB3D32" w:rsidR="00F26B94" w:rsidRPr="00946AB3" w:rsidRDefault="00F26B94" w:rsidP="00F26B94">
      <w:pPr>
        <w:pStyle w:val="Listenabsatz"/>
        <w:numPr>
          <w:ilvl w:val="0"/>
          <w:numId w:val="10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 xml:space="preserve">z.B. </w:t>
      </w:r>
      <w:r w:rsidRPr="00F26B94">
        <w:rPr>
          <w:i/>
          <w:iCs/>
          <w:lang w:val="en-US"/>
        </w:rPr>
        <w:t>squeezes</w:t>
      </w:r>
      <w:r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object-type</w:t>
      </w:r>
    </w:p>
    <w:p w14:paraId="6DDDA2EC" w14:textId="77777777" w:rsidR="00946AB3" w:rsidRDefault="00946AB3" w:rsidP="00F26B94">
      <w:pPr>
        <w:spacing w:after="0" w:line="240" w:lineRule="auto"/>
        <w:rPr>
          <w:lang w:val="en-US"/>
        </w:rPr>
      </w:pPr>
    </w:p>
    <w:p w14:paraId="2EC6B650" w14:textId="036D952F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lastRenderedPageBreak/>
        <w:t>Adjektive als Herausforderungen</w:t>
      </w:r>
    </w:p>
    <w:p w14:paraId="0C81ADF5" w14:textId="27EEC399" w:rsidR="00AE567C" w:rsidRPr="00F26B94" w:rsidRDefault="00AE567C" w:rsidP="00F26B94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en-US"/>
        </w:rPr>
      </w:pPr>
      <w:r w:rsidRPr="00F26B94">
        <w:rPr>
          <w:lang w:val="en-US"/>
        </w:rPr>
        <w:t xml:space="preserve">z.B. </w:t>
      </w:r>
      <w:r w:rsidRPr="00F26B94">
        <w:rPr>
          <w:i/>
          <w:iCs/>
          <w:lang w:val="en-US"/>
        </w:rPr>
        <w:t>raw, (teil-)automatisch generiert, hand corrected, computational linguistic</w:t>
      </w:r>
      <w:r w:rsidR="00F26B94" w:rsidRPr="00F26B94">
        <w:rPr>
          <w:i/>
          <w:iCs/>
          <w:lang w:val="en-US"/>
        </w:rPr>
        <w:t>, a</w:t>
      </w:r>
      <w:r w:rsidR="00F26B94">
        <w:rPr>
          <w:i/>
          <w:iCs/>
          <w:lang w:val="en-US"/>
        </w:rPr>
        <w:t>udio-visual</w:t>
      </w:r>
    </w:p>
    <w:p w14:paraId="5B38AF07" w14:textId="77777777" w:rsidR="00F26B94" w:rsidRPr="00F26B94" w:rsidRDefault="00F26B94" w:rsidP="00F26B94">
      <w:pPr>
        <w:pStyle w:val="Listenabsatz"/>
        <w:spacing w:after="0" w:line="240" w:lineRule="auto"/>
        <w:rPr>
          <w:i/>
          <w:iCs/>
          <w:lang w:val="en-US"/>
        </w:rPr>
      </w:pPr>
    </w:p>
    <w:p w14:paraId="0E437643" w14:textId="1CA1F6B1" w:rsidR="00AE567C" w:rsidRPr="00AE567C" w:rsidRDefault="00AE567C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Metakommentare als Herausforderungen</w:t>
      </w:r>
    </w:p>
    <w:p w14:paraId="2B262B32" w14:textId="4982D4A8" w:rsidR="00AE567C" w:rsidRPr="00F26B94" w:rsidRDefault="00AE567C" w:rsidP="00F26B94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</w:rPr>
      </w:pPr>
      <w:r>
        <w:t xml:space="preserve">z.B. </w:t>
      </w:r>
      <w:r w:rsidRPr="00F26B94">
        <w:rPr>
          <w:i/>
          <w:iCs/>
        </w:rPr>
        <w:t>for interns, (teil-)automatisch generiert</w:t>
      </w:r>
    </w:p>
    <w:p w14:paraId="32DA5749" w14:textId="77777777" w:rsidR="00D079C6" w:rsidRDefault="00D079C6" w:rsidP="00F26B94">
      <w:pPr>
        <w:spacing w:after="0" w:line="240" w:lineRule="auto"/>
      </w:pPr>
    </w:p>
    <w:p w14:paraId="6130C130" w14:textId="7A914A3F" w:rsidR="00F26B94" w:rsidRPr="00D079C6" w:rsidRDefault="00F26B94" w:rsidP="00F26B94">
      <w:pPr>
        <w:spacing w:after="0" w:line="240" w:lineRule="auto"/>
        <w:rPr>
          <w:b/>
          <w:bCs/>
        </w:rPr>
      </w:pPr>
      <w:r w:rsidRPr="00D079C6">
        <w:rPr>
          <w:b/>
          <w:bCs/>
        </w:rPr>
        <w:t>Object-type als Herausforderung</w:t>
      </w:r>
    </w:p>
    <w:p w14:paraId="0A95C640" w14:textId="45C19FA2" w:rsidR="00F26B94" w:rsidRDefault="00F26B94" w:rsidP="00F26B94">
      <w:pPr>
        <w:pStyle w:val="Listenabsatz"/>
        <w:numPr>
          <w:ilvl w:val="0"/>
          <w:numId w:val="18"/>
        </w:numPr>
        <w:spacing w:after="0" w:line="240" w:lineRule="auto"/>
      </w:pPr>
      <w:r>
        <w:t>wann ist etwas ein „object“</w:t>
      </w:r>
      <w:r w:rsidR="008E45F2">
        <w:t xml:space="preserve"> vs. </w:t>
      </w:r>
      <w:r>
        <w:t>wann ist es kein „object“ mehr</w:t>
      </w:r>
      <w:r w:rsidR="008E45F2">
        <w:t xml:space="preserve"> und z.B. schon ein „topic“?</w:t>
      </w:r>
    </w:p>
    <w:p w14:paraId="6EAB12B8" w14:textId="45AB7395" w:rsidR="00F26B94" w:rsidRDefault="00F26B94" w:rsidP="00F26B94">
      <w:pPr>
        <w:pStyle w:val="Listenabsatz"/>
        <w:numPr>
          <w:ilvl w:val="0"/>
          <w:numId w:val="18"/>
        </w:numPr>
        <w:spacing w:after="0" w:line="240" w:lineRule="auto"/>
        <w:rPr>
          <w:lang w:val="en-US"/>
        </w:rPr>
      </w:pPr>
      <w:r w:rsidRPr="008E45F2">
        <w:rPr>
          <w:i/>
          <w:iCs/>
          <w:lang w:val="en-US"/>
        </w:rPr>
        <w:t>books, newspapers, vases</w:t>
      </w:r>
      <w:r>
        <w:rPr>
          <w:lang w:val="en-US"/>
        </w:rPr>
        <w:t xml:space="preserve"> </w:t>
      </w:r>
      <w:r w:rsidRPr="00F26B9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E45F2">
        <w:rPr>
          <w:lang w:val="en-US"/>
        </w:rPr>
        <w:t>eindeutig</w:t>
      </w:r>
    </w:p>
    <w:p w14:paraId="38D664C7" w14:textId="346A4B08" w:rsidR="008E45F2" w:rsidRDefault="008E45F2" w:rsidP="008E45F2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en-US"/>
        </w:rPr>
      </w:pPr>
      <w:r>
        <w:rPr>
          <w:lang w:val="en-US"/>
        </w:rPr>
        <w:t>schwieriger</w:t>
      </w:r>
      <w:r w:rsidR="00F26B94">
        <w:rPr>
          <w:lang w:val="en-US"/>
        </w:rPr>
        <w:t xml:space="preserve">: </w:t>
      </w:r>
      <w:r w:rsidR="00F26B94" w:rsidRPr="008E45F2">
        <w:rPr>
          <w:i/>
          <w:iCs/>
          <w:lang w:val="en-US"/>
        </w:rPr>
        <w:t>hotels, collection, cultural heritage, linked data, query language, digital heritage, digital infrastructure</w:t>
      </w:r>
      <w:r w:rsidRPr="008E45F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platform, word-counts, workflows</w:t>
      </w:r>
      <w:r w:rsidR="003711C2">
        <w:rPr>
          <w:i/>
          <w:iCs/>
          <w:lang w:val="en-US"/>
        </w:rPr>
        <w:t>, words, kunst</w:t>
      </w:r>
    </w:p>
    <w:p w14:paraId="6CCD4C6B" w14:textId="09827282" w:rsidR="00FA02BB" w:rsidRPr="00FA02BB" w:rsidRDefault="00FA02BB" w:rsidP="00FA02BB">
      <w:pPr>
        <w:pStyle w:val="Listenabsatz"/>
        <w:numPr>
          <w:ilvl w:val="0"/>
          <w:numId w:val="18"/>
        </w:numPr>
        <w:spacing w:after="0" w:line="240" w:lineRule="auto"/>
        <w:rPr>
          <w:i/>
          <w:iCs/>
          <w:lang w:val="de-DE"/>
        </w:rPr>
      </w:pPr>
      <w:r w:rsidRPr="00FA02BB">
        <w:rPr>
          <w:lang w:val="de-DE"/>
        </w:rPr>
        <w:t>Versuch einer Abgrenzung von o</w:t>
      </w:r>
      <w:r>
        <w:rPr>
          <w:lang w:val="de-DE"/>
        </w:rPr>
        <w:t xml:space="preserve">bject-type und topic </w:t>
      </w:r>
      <w:r>
        <w:rPr>
          <w:lang w:val="de-DE"/>
        </w:rPr>
        <w:t>(der auch bei Martins Annotierungen zur Anwendung kam)</w:t>
      </w:r>
      <w:r>
        <w:rPr>
          <w:lang w:val="de-DE"/>
        </w:rPr>
        <w:t xml:space="preserve"> in Einklang mit den Vorgaben aus dem Kategorienschema </w:t>
      </w:r>
    </w:p>
    <w:tbl>
      <w:tblPr>
        <w:tblStyle w:val="Tabellenraster"/>
        <w:tblW w:w="8647" w:type="dxa"/>
        <w:tblInd w:w="704" w:type="dxa"/>
        <w:tblLook w:val="04A0" w:firstRow="1" w:lastRow="0" w:firstColumn="1" w:lastColumn="0" w:noHBand="0" w:noVBand="1"/>
      </w:tblPr>
      <w:tblGrid>
        <w:gridCol w:w="4531"/>
        <w:gridCol w:w="4116"/>
      </w:tblGrid>
      <w:tr w:rsidR="00FA02BB" w:rsidRPr="00FA02BB" w14:paraId="60768195" w14:textId="77777777" w:rsidTr="00FA02BB">
        <w:tc>
          <w:tcPr>
            <w:tcW w:w="4531" w:type="dxa"/>
          </w:tcPr>
          <w:p w14:paraId="3A20BD4D" w14:textId="77777777" w:rsidR="00FA02BB" w:rsidRPr="00FA02BB" w:rsidRDefault="00FA02BB" w:rsidP="00FA02BB">
            <w:pPr>
              <w:jc w:val="center"/>
              <w:rPr>
                <w:i/>
                <w:iCs/>
              </w:rPr>
            </w:pPr>
            <w:r w:rsidRPr="00FA02BB">
              <w:rPr>
                <w:i/>
                <w:iCs/>
              </w:rPr>
              <w:t>Object-type</w:t>
            </w:r>
          </w:p>
        </w:tc>
        <w:tc>
          <w:tcPr>
            <w:tcW w:w="4116" w:type="dxa"/>
          </w:tcPr>
          <w:p w14:paraId="150AF570" w14:textId="77777777" w:rsidR="00FA02BB" w:rsidRPr="00FA02BB" w:rsidRDefault="00FA02BB" w:rsidP="00FA02BB">
            <w:pPr>
              <w:jc w:val="center"/>
              <w:rPr>
                <w:i/>
                <w:iCs/>
              </w:rPr>
            </w:pPr>
            <w:r w:rsidRPr="00FA02BB">
              <w:rPr>
                <w:i/>
                <w:iCs/>
              </w:rPr>
              <w:t>Topic</w:t>
            </w:r>
          </w:p>
        </w:tc>
      </w:tr>
      <w:tr w:rsidR="00FA02BB" w14:paraId="2E7AF963" w14:textId="77777777" w:rsidTr="00FA02BB">
        <w:tc>
          <w:tcPr>
            <w:tcW w:w="4531" w:type="dxa"/>
          </w:tcPr>
          <w:p w14:paraId="3D561E4D" w14:textId="77777777" w:rsidR="00FA02BB" w:rsidRDefault="00FA02BB" w:rsidP="005215E5">
            <w:r w:rsidRPr="00357D7A">
              <w:t>alles, was man "sich gegenüberhalten kann"</w:t>
            </w:r>
            <w:r>
              <w:t xml:space="preserve"> = in gewisser Weise angreifbar/physisch umreißbar</w:t>
            </w:r>
          </w:p>
        </w:tc>
        <w:tc>
          <w:tcPr>
            <w:tcW w:w="4116" w:type="dxa"/>
          </w:tcPr>
          <w:p w14:paraId="2BD53C67" w14:textId="77777777" w:rsidR="00FA02BB" w:rsidRDefault="00FA02BB" w:rsidP="005215E5">
            <w:r w:rsidRPr="00357D7A">
              <w:t>vor allem Ideen, gedankliche oder institutionelle ("parliament") Konstrukte, Phänomene ("weather", "migration") oder Sammelbegriffe ("food", "art")</w:t>
            </w:r>
            <w:r>
              <w:t xml:space="preserve">, </w:t>
            </w:r>
            <w:r w:rsidRPr="00357D7A">
              <w:t>disziplinäre Fachbegriffe</w:t>
            </w:r>
          </w:p>
        </w:tc>
      </w:tr>
      <w:tr w:rsidR="00FA02BB" w14:paraId="39B1AA76" w14:textId="77777777" w:rsidTr="00FA02BB">
        <w:tc>
          <w:tcPr>
            <w:tcW w:w="4531" w:type="dxa"/>
          </w:tcPr>
          <w:p w14:paraId="3EBE06C2" w14:textId="77777777" w:rsidR="00FA02BB" w:rsidRDefault="00FA02BB" w:rsidP="005215E5">
            <w:r w:rsidRPr="00357D7A">
              <w:t>konkreter Forschungsgegenstand</w:t>
            </w:r>
          </w:p>
        </w:tc>
        <w:tc>
          <w:tcPr>
            <w:tcW w:w="4116" w:type="dxa"/>
          </w:tcPr>
          <w:p w14:paraId="1B16185F" w14:textId="77777777" w:rsidR="00FA02BB" w:rsidRDefault="00FA02BB" w:rsidP="005215E5">
            <w:r w:rsidRPr="00357D7A">
              <w:t>abstrakter Forschungsgegenstand</w:t>
            </w:r>
          </w:p>
        </w:tc>
      </w:tr>
      <w:tr w:rsidR="00FA02BB" w14:paraId="00408263" w14:textId="77777777" w:rsidTr="00FA02BB">
        <w:tc>
          <w:tcPr>
            <w:tcW w:w="4531" w:type="dxa"/>
          </w:tcPr>
          <w:p w14:paraId="6FE54250" w14:textId="77777777" w:rsidR="00FA02BB" w:rsidRDefault="00FA02BB" w:rsidP="005215E5">
            <w:r w:rsidRPr="00357D7A">
              <w:t>vor allem für quantitative Analyse bestimmt</w:t>
            </w:r>
          </w:p>
        </w:tc>
        <w:tc>
          <w:tcPr>
            <w:tcW w:w="4116" w:type="dxa"/>
          </w:tcPr>
          <w:p w14:paraId="492DE1E9" w14:textId="77777777" w:rsidR="00FA02BB" w:rsidRDefault="00FA02BB" w:rsidP="005215E5">
            <w:r>
              <w:t xml:space="preserve">vor allem </w:t>
            </w:r>
            <w:r w:rsidRPr="00357D7A">
              <w:t>für qualitative Analyse bestimmt</w:t>
            </w:r>
          </w:p>
        </w:tc>
      </w:tr>
    </w:tbl>
    <w:p w14:paraId="25D89556" w14:textId="77777777" w:rsidR="00FA02BB" w:rsidRPr="00FA02BB" w:rsidRDefault="00FA02BB" w:rsidP="00FA02BB">
      <w:pPr>
        <w:spacing w:after="0" w:line="240" w:lineRule="auto"/>
        <w:ind w:left="709"/>
        <w:rPr>
          <w:i/>
          <w:iCs/>
          <w:lang w:val="de-DE"/>
        </w:rPr>
      </w:pPr>
    </w:p>
    <w:p w14:paraId="428EB099" w14:textId="77777777" w:rsidR="008E45F2" w:rsidRPr="00FA02BB" w:rsidRDefault="008E45F2" w:rsidP="008E45F2">
      <w:pPr>
        <w:spacing w:after="0" w:line="240" w:lineRule="auto"/>
        <w:rPr>
          <w:i/>
          <w:iCs/>
          <w:lang w:val="de-DE"/>
        </w:rPr>
      </w:pPr>
    </w:p>
    <w:p w14:paraId="3B4F1AA0" w14:textId="47EDD4E2" w:rsidR="008E45F2" w:rsidRPr="003711C2" w:rsidRDefault="008E45F2" w:rsidP="008E45F2">
      <w:pPr>
        <w:spacing w:after="0" w:line="240" w:lineRule="auto"/>
        <w:rPr>
          <w:b/>
          <w:bCs/>
        </w:rPr>
      </w:pPr>
      <w:r w:rsidRPr="003711C2">
        <w:rPr>
          <w:b/>
          <w:bCs/>
        </w:rPr>
        <w:t>Ambiguität als Herausforderung</w:t>
      </w:r>
    </w:p>
    <w:p w14:paraId="511FC126" w14:textId="5D7DF93D" w:rsidR="008E45F2" w:rsidRDefault="008E45F2" w:rsidP="003711C2">
      <w:pPr>
        <w:pStyle w:val="Listenabsatz"/>
        <w:numPr>
          <w:ilvl w:val="0"/>
          <w:numId w:val="20"/>
        </w:numPr>
        <w:spacing w:after="0" w:line="240" w:lineRule="auto"/>
      </w:pPr>
      <w:r>
        <w:t xml:space="preserve">z.B. </w:t>
      </w:r>
      <w:r w:rsidRPr="003711C2">
        <w:rPr>
          <w:i/>
          <w:iCs/>
        </w:rPr>
        <w:t>replication</w:t>
      </w:r>
      <w:r>
        <w:t xml:space="preserve"> </w:t>
      </w:r>
      <w:r>
        <w:sym w:font="Wingdings" w:char="F0E0"/>
      </w:r>
      <w:r>
        <w:t xml:space="preserve"> Tätigkeit vs. Objekt</w:t>
      </w:r>
    </w:p>
    <w:p w14:paraId="5359BD34" w14:textId="77777777" w:rsidR="003711C2" w:rsidRPr="00510503" w:rsidRDefault="003711C2" w:rsidP="00F26B94">
      <w:pPr>
        <w:spacing w:after="0" w:line="240" w:lineRule="auto"/>
      </w:pPr>
    </w:p>
    <w:p w14:paraId="08725794" w14:textId="3B24FA9D" w:rsidR="00306CD6" w:rsidRPr="00AE567C" w:rsidRDefault="00306CD6" w:rsidP="00F26B94">
      <w:pPr>
        <w:spacing w:after="0" w:line="240" w:lineRule="auto"/>
        <w:rPr>
          <w:b/>
          <w:bCs/>
        </w:rPr>
      </w:pPr>
      <w:r w:rsidRPr="00AE567C">
        <w:rPr>
          <w:b/>
          <w:bCs/>
        </w:rPr>
        <w:t>Nächste Schritte</w:t>
      </w:r>
    </w:p>
    <w:p w14:paraId="01A0E36D" w14:textId="77777777" w:rsidR="00306CD6" w:rsidRDefault="00306CD6" w:rsidP="00F26B94">
      <w:pPr>
        <w:pStyle w:val="Listenabsatz"/>
        <w:numPr>
          <w:ilvl w:val="0"/>
          <w:numId w:val="9"/>
        </w:numPr>
        <w:spacing w:after="0" w:line="240" w:lineRule="auto"/>
      </w:pPr>
      <w:r w:rsidRPr="00946AB3">
        <w:t>2 von Martin noch unkategorisierte Fälle</w:t>
      </w:r>
    </w:p>
    <w:p w14:paraId="602B3445" w14:textId="77777777" w:rsidR="00306CD6" w:rsidRDefault="00306CD6" w:rsidP="00F26B94">
      <w:pPr>
        <w:pStyle w:val="Listenabsatz"/>
        <w:numPr>
          <w:ilvl w:val="0"/>
          <w:numId w:val="9"/>
        </w:numPr>
        <w:spacing w:after="0" w:line="240" w:lineRule="auto"/>
      </w:pPr>
      <w:r>
        <w:t>Massimilianos ARCHE-Kategorisierung einbauen</w:t>
      </w:r>
    </w:p>
    <w:p w14:paraId="31A7590D" w14:textId="53847F07" w:rsidR="00946AB3" w:rsidRDefault="00946AB3" w:rsidP="00306CD6">
      <w:pPr>
        <w:pStyle w:val="Listenabsatz"/>
        <w:numPr>
          <w:ilvl w:val="0"/>
          <w:numId w:val="9"/>
        </w:numPr>
        <w:spacing w:after="0" w:line="240" w:lineRule="auto"/>
      </w:pPr>
      <w:r>
        <w:t>Schreibfehler und ähnliches korrigieren</w:t>
      </w:r>
      <w:r w:rsidR="00306CD6">
        <w:t xml:space="preserve"> bzw. </w:t>
      </w:r>
      <w:r>
        <w:t>Varianten zusammenführen?</w:t>
      </w:r>
    </w:p>
    <w:p w14:paraId="1F307282" w14:textId="28881DB9" w:rsidR="008E45F2" w:rsidRDefault="008E45F2" w:rsidP="00306CD6">
      <w:pPr>
        <w:pStyle w:val="Listenabsatz"/>
        <w:numPr>
          <w:ilvl w:val="0"/>
          <w:numId w:val="9"/>
        </w:numPr>
        <w:spacing w:after="0" w:line="240" w:lineRule="auto"/>
      </w:pPr>
      <w:r>
        <w:t>Umgang mit unterschiedlichen Sprachen</w:t>
      </w:r>
    </w:p>
    <w:p w14:paraId="6F594763" w14:textId="19389CB8" w:rsidR="008E45F2" w:rsidRDefault="008E45F2" w:rsidP="008E45F2">
      <w:pPr>
        <w:pStyle w:val="Listenabsatz"/>
        <w:numPr>
          <w:ilvl w:val="1"/>
          <w:numId w:val="9"/>
        </w:numPr>
        <w:spacing w:after="0" w:line="240" w:lineRule="auto"/>
      </w:pPr>
      <w:r>
        <w:t>zusammenführen?</w:t>
      </w:r>
      <w:r w:rsidR="00253F77">
        <w:t xml:space="preserve"> (s. evtl. auch zusätzliche Liste von Martin)</w:t>
      </w:r>
    </w:p>
    <w:p w14:paraId="35D9F0BF" w14:textId="1B8E42B3" w:rsidR="008E45F2" w:rsidRDefault="008E45F2" w:rsidP="008E45F2">
      <w:pPr>
        <w:pStyle w:val="Listenabsatz"/>
        <w:numPr>
          <w:ilvl w:val="1"/>
          <w:numId w:val="9"/>
        </w:numPr>
        <w:spacing w:after="0" w:line="240" w:lineRule="auto"/>
      </w:pPr>
      <w:r>
        <w:t>nur Englisch und Deutsch behalten?</w:t>
      </w:r>
    </w:p>
    <w:p w14:paraId="257B61C0" w14:textId="128AABA9" w:rsidR="00253F77" w:rsidRDefault="008E45F2" w:rsidP="00253F77">
      <w:pPr>
        <w:pStyle w:val="Listenabsatz"/>
        <w:numPr>
          <w:ilvl w:val="1"/>
          <w:numId w:val="9"/>
        </w:numPr>
        <w:spacing w:after="0" w:line="240" w:lineRule="auto"/>
      </w:pPr>
      <w:r>
        <w:t xml:space="preserve">andere </w:t>
      </w:r>
      <w:r w:rsidRPr="00946AB3">
        <w:t>fremdsprachliche Fälle identifizieren und herausfiltern?</w:t>
      </w:r>
    </w:p>
    <w:p w14:paraId="5AE8123A" w14:textId="709B586B" w:rsidR="008E45F2" w:rsidRPr="00946AB3" w:rsidRDefault="0001651E" w:rsidP="008E45F2">
      <w:pPr>
        <w:pStyle w:val="Listenabsatz"/>
        <w:numPr>
          <w:ilvl w:val="0"/>
          <w:numId w:val="9"/>
        </w:numPr>
        <w:spacing w:after="0" w:line="240" w:lineRule="auto"/>
      </w:pPr>
      <w:r>
        <w:t>Konzentration auf</w:t>
      </w:r>
      <w:r w:rsidR="008E45F2">
        <w:t xml:space="preserve"> konkrete</w:t>
      </w:r>
      <w:r>
        <w:t xml:space="preserve"> </w:t>
      </w:r>
      <w:r w:rsidR="008E45F2">
        <w:t>Gruppen, um diese zu vereinheitlichen, zusammenzuführen und relevante Vokabularien zu identifizieren?</w:t>
      </w:r>
    </w:p>
    <w:p w14:paraId="6851C4D6" w14:textId="77777777" w:rsidR="00946AB3" w:rsidRPr="00306CD6" w:rsidRDefault="00946AB3" w:rsidP="001647CA"/>
    <w:p w14:paraId="23758493" w14:textId="77777777" w:rsidR="00253F77" w:rsidRPr="00306CD6" w:rsidRDefault="00253F77" w:rsidP="001647CA"/>
    <w:p w14:paraId="16589271" w14:textId="77777777" w:rsidR="001647CA" w:rsidRPr="00306CD6" w:rsidRDefault="001647CA" w:rsidP="001647CA"/>
    <w:sectPr w:rsidR="001647CA" w:rsidRPr="00306C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465"/>
    <w:multiLevelType w:val="hybridMultilevel"/>
    <w:tmpl w:val="A2B8F110"/>
    <w:lvl w:ilvl="0" w:tplc="417C90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33866"/>
    <w:multiLevelType w:val="hybridMultilevel"/>
    <w:tmpl w:val="E64225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6A9"/>
    <w:multiLevelType w:val="hybridMultilevel"/>
    <w:tmpl w:val="D5942B02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066C"/>
    <w:multiLevelType w:val="hybridMultilevel"/>
    <w:tmpl w:val="BD1A14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16CE"/>
    <w:multiLevelType w:val="hybridMultilevel"/>
    <w:tmpl w:val="C8CA9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1038D"/>
    <w:multiLevelType w:val="hybridMultilevel"/>
    <w:tmpl w:val="886E8A52"/>
    <w:lvl w:ilvl="0" w:tplc="4266BA32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48E6"/>
    <w:multiLevelType w:val="hybridMultilevel"/>
    <w:tmpl w:val="27B6FB20"/>
    <w:lvl w:ilvl="0" w:tplc="B3CC399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C7D30"/>
    <w:multiLevelType w:val="hybridMultilevel"/>
    <w:tmpl w:val="5894C2D8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079FF"/>
    <w:multiLevelType w:val="hybridMultilevel"/>
    <w:tmpl w:val="2690AD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B764B"/>
    <w:multiLevelType w:val="hybridMultilevel"/>
    <w:tmpl w:val="541630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34164"/>
    <w:multiLevelType w:val="hybridMultilevel"/>
    <w:tmpl w:val="A4DE4D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46C20"/>
    <w:multiLevelType w:val="hybridMultilevel"/>
    <w:tmpl w:val="0F1603A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D07CB3"/>
    <w:multiLevelType w:val="hybridMultilevel"/>
    <w:tmpl w:val="2124AA32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326D2"/>
    <w:multiLevelType w:val="hybridMultilevel"/>
    <w:tmpl w:val="1AEC3646"/>
    <w:lvl w:ilvl="0" w:tplc="2A765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75FEB"/>
    <w:multiLevelType w:val="hybridMultilevel"/>
    <w:tmpl w:val="8C58A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17246"/>
    <w:multiLevelType w:val="hybridMultilevel"/>
    <w:tmpl w:val="0248FE9A"/>
    <w:lvl w:ilvl="0" w:tplc="8752D9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930EF"/>
    <w:multiLevelType w:val="hybridMultilevel"/>
    <w:tmpl w:val="0C9C1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56760"/>
    <w:multiLevelType w:val="hybridMultilevel"/>
    <w:tmpl w:val="296A3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852A0"/>
    <w:multiLevelType w:val="hybridMultilevel"/>
    <w:tmpl w:val="E4FE7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2350D"/>
    <w:multiLevelType w:val="hybridMultilevel"/>
    <w:tmpl w:val="31FE3F80"/>
    <w:lvl w:ilvl="0" w:tplc="2A765B8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00473"/>
    <w:multiLevelType w:val="hybridMultilevel"/>
    <w:tmpl w:val="DB4452FE"/>
    <w:lvl w:ilvl="0" w:tplc="2A765B8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16"/>
  </w:num>
  <w:num w:numId="9">
    <w:abstractNumId w:val="13"/>
  </w:num>
  <w:num w:numId="10">
    <w:abstractNumId w:val="10"/>
  </w:num>
  <w:num w:numId="11">
    <w:abstractNumId w:val="12"/>
  </w:num>
  <w:num w:numId="12">
    <w:abstractNumId w:val="4"/>
  </w:num>
  <w:num w:numId="13">
    <w:abstractNumId w:val="7"/>
  </w:num>
  <w:num w:numId="14">
    <w:abstractNumId w:val="2"/>
  </w:num>
  <w:num w:numId="15">
    <w:abstractNumId w:val="19"/>
  </w:num>
  <w:num w:numId="16">
    <w:abstractNumId w:val="8"/>
  </w:num>
  <w:num w:numId="17">
    <w:abstractNumId w:val="20"/>
  </w:num>
  <w:num w:numId="18">
    <w:abstractNumId w:val="3"/>
  </w:num>
  <w:num w:numId="19">
    <w:abstractNumId w:val="18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CA"/>
    <w:rsid w:val="0001651E"/>
    <w:rsid w:val="00036D6E"/>
    <w:rsid w:val="00045793"/>
    <w:rsid w:val="0013739A"/>
    <w:rsid w:val="001647CA"/>
    <w:rsid w:val="00253F77"/>
    <w:rsid w:val="00306CD6"/>
    <w:rsid w:val="0033472D"/>
    <w:rsid w:val="003711C2"/>
    <w:rsid w:val="00496E4F"/>
    <w:rsid w:val="004D62AE"/>
    <w:rsid w:val="00510503"/>
    <w:rsid w:val="005579C1"/>
    <w:rsid w:val="00663F65"/>
    <w:rsid w:val="008B274F"/>
    <w:rsid w:val="008E45F2"/>
    <w:rsid w:val="00946AB3"/>
    <w:rsid w:val="00A54582"/>
    <w:rsid w:val="00AE567C"/>
    <w:rsid w:val="00D079C6"/>
    <w:rsid w:val="00D82265"/>
    <w:rsid w:val="00E9000B"/>
    <w:rsid w:val="00F26B94"/>
    <w:rsid w:val="00F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5157"/>
  <w15:chartTrackingRefBased/>
  <w15:docId w15:val="{B4B033EF-7B24-4517-8BC0-00FE6C2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7C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5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table" w:styleId="Tabellenraster">
    <w:name w:val="Table Grid"/>
    <w:basedOn w:val="NormaleTabelle"/>
    <w:uiPriority w:val="39"/>
    <w:rsid w:val="00FA02BB"/>
    <w:pPr>
      <w:spacing w:after="0" w:line="240" w:lineRule="auto"/>
    </w:pPr>
    <w:rPr>
      <w:kern w:val="0"/>
      <w:lang w:val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4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80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Rastinger, Nina Claudia</dc:creator>
  <cp:keywords/>
  <dc:description/>
  <cp:lastModifiedBy>Kirnbauer, Martin</cp:lastModifiedBy>
  <cp:revision>6</cp:revision>
  <dcterms:created xsi:type="dcterms:W3CDTF">2023-08-18T06:48:00Z</dcterms:created>
  <dcterms:modified xsi:type="dcterms:W3CDTF">2023-08-22T08:38:00Z</dcterms:modified>
</cp:coreProperties>
</file>