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d85c6"/>
          <w:sz w:val="40"/>
          <w:szCs w:val="40"/>
          <w:rtl w:val="0"/>
        </w:rPr>
        <w:t xml:space="preserve">ANDREW DICKINSON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36"/>
          <w:szCs w:val="3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22"/>
          <w:szCs w:val="22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b5394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b5394"/>
          <w:sz w:val="20"/>
          <w:szCs w:val="20"/>
          <w:vertAlign w:val="baseline"/>
          <w:rtl w:val="0"/>
        </w:rPr>
        <w:t xml:space="preserve">(248) 935-8911 •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b5394"/>
            <w:sz w:val="20"/>
            <w:szCs w:val="20"/>
            <w:rtl w:val="0"/>
          </w:rPr>
          <w:t xml:space="preserve">acdickin@gmail.com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b5394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b5394"/>
          <w:sz w:val="20"/>
          <w:szCs w:val="20"/>
          <w:vertAlign w:val="baseline"/>
          <w:rtl w:val="0"/>
        </w:rPr>
        <w:t xml:space="preserve">5530 S 129th st, Seattle, WA 98178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 am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an experienced web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currently looking for new opportunit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in both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 and backend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 I am well-versed in Java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script and libraries such as jQuery and ReactJS, and quickly learn new libraries and languages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d85c6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d85c6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Developer</w:t>
        <w:tab/>
        <w:t xml:space="preserve">March 2016 -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National Center for Telehealth &amp; Technology</w:t>
        <w:tab/>
        <w:t xml:space="preserve">Lakewood, 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Creating and updating drupal pages for Military kids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Creating, Testing, debugging, migrating to latest version, and refactoring  React, Ember and Angular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Sprint planning, creating documentation, maintenance, end to end and </w:t>
      </w:r>
      <w:r w:rsidDel="00000000" w:rsidR="00000000" w:rsidRPr="00000000">
        <w:rPr>
          <w:rFonts w:ascii="Calibri" w:cs="Calibri" w:eastAsia="Calibri" w:hAnsi="Calibri"/>
          <w:color w:val="4d4d4d"/>
          <w:sz w:val="20"/>
          <w:szCs w:val="20"/>
          <w:highlight w:val="white"/>
          <w:rtl w:val="0"/>
        </w:rPr>
        <w:t xml:space="preserve"> behavior-driven testing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Tier 3 Tech Support </w:t>
        <w:tab/>
        <w:t xml:space="preserve">May 2015 - March 2016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Microsoft/Bing Ads</w:t>
        <w:tab/>
        <w:t xml:space="preserve">Seattle, WA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right" w:pos="9360"/>
        </w:tabs>
        <w:spacing w:after="0" w:before="0" w:lineRule="auto"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roubleshooting for accounts and and client billing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right" w:pos="9360"/>
        </w:tabs>
        <w:spacing w:after="0" w:before="0" w:lineRule="auto"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Writing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 SQL queries to verify content visible to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right" w:pos="9360"/>
        </w:tabs>
        <w:spacing w:after="0" w:before="0" w:lineRule="auto"/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Crea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ting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rtl w:val="0"/>
        </w:rPr>
        <w:t xml:space="preserve"> reports about site traffic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right" w:pos="9360"/>
        </w:tabs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Creating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Helvetica Neue" w:cs="Helvetica Neue" w:eastAsia="Helvetica Neue" w:hAnsi="Helvetica Neue"/>
          <w:b w:val="1"/>
          <w:color w:val="3d85c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d85c6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Jasmine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Drupal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ReactJS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Jenkins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0" w:lineRule="auto"/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EmberJS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Postgres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ExpressJS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NodeJS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Webpack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Mocha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Protractor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Helvetica Neue" w:cs="Helvetica Neue" w:eastAsia="Helvetica Neue" w:hAnsi="Helvetica Neue"/>
          <w:b w:val="1"/>
          <w:color w:val="3d85c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Post-Bachelor Studies in Database Administration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Graduated December 2014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Seattle Central College, Seattle, WA            </w:t>
        <w:tab/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Dean’s List, President's List                             </w:t>
        <w:tab/>
        <w:t xml:space="preserve">GPA: 3.97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Bachelors of Integrative Studies, emphasis in Law and Communications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Graduated December 2010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contextualSpacing w:val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Oakland University, Rochester, MI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08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85c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160" w:lineRule="auto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160" w:lineRule="auto"/>
    </w:pPr>
    <w:rPr>
      <w:rFonts w:ascii="Trebuchet MS" w:cs="Trebuchet MS" w:eastAsia="Trebuchet MS" w:hAnsi="Trebuchet MS"/>
      <w:b w:val="1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Trebuchet MS" w:cs="Trebuchet MS" w:eastAsia="Trebuchet MS" w:hAnsi="Trebuchet MS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36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cdickin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