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BidSubtitle"/>
        <w:jc w:val="center"/>
      </w:pPr>
      <w:r>
        <w:rPr>
          <w:b/>
          <w:color w:val="DC3023"/>
          <w:sz w:val="32"/>
        </w:rPr>
        <w:t>OpenHPC WebUI</w:t>
      </w:r>
    </w:p>
    <w:p>
      <w:pPr>
        <w:pStyle w:val="Title"/>
        <w:jc w:val="center"/>
      </w:pPr>
      <w:r>
        <w:t>智算中心轻量化管理门户项目</w:t>
      </w:r>
    </w:p>
    <w:p>
      <w:pPr>
        <w:pStyle w:val="Title"/>
        <w:jc w:val="center"/>
      </w:pPr>
      <w:r>
        <w:rPr>
          <w:sz w:val="42"/>
        </w:rPr>
        <w:t>技术投标文件</w:t>
      </w:r>
    </w:p>
    <w:p/>
    <w:p>
      <w:pPr>
        <w:jc w:val="center"/>
      </w:pPr>
      <w:r>
        <w:rPr>
          <w:color w:val="5F6B73"/>
          <w:sz w:val="22"/>
        </w:rPr>
        <w:t>技术方案  实施交付  运维服务  验收建议</w:t>
      </w:r>
    </w:p>
    <w:p/>
    <w:p/>
    <w:tbl>
      <w:tblPr>
        <w:tblW w:type="auto" w:w="0"/>
        <w:jc w:val="center"/>
        <w:tblLayout w:type="fixed"/>
        <w:tblLook w:firstColumn="1" w:firstRow="1" w:lastColumn="0" w:lastRow="0" w:noHBand="0" w:noVBand="1" w:val="04A0"/>
      </w:tblPr>
      <w:tblGrid>
        <w:gridCol w:w="5011"/>
        <w:gridCol w:w="5011"/>
      </w:tblGrid>
      <w:tr>
        <w:trPr>
          <w:tblHeader w:val="true"/>
        </w:trPr>
        <w:tc>
          <w:tcPr>
            <w:tcW w:type="dxa" w:w="1944"/>
            <w:shd w:fill="DC3023"/>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20"/>
              </w:rPr>
              <w:t>项目</w:t>
            </w:r>
          </w:p>
        </w:tc>
        <w:tc>
          <w:tcPr>
            <w:tcW w:type="dxa" w:w="6696"/>
            <w:shd w:fill="DC3023"/>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20"/>
              </w:rPr>
              <w:t>内容</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20"/>
              </w:rPr>
              <w:t>项目名称</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20"/>
              </w:rPr>
              <w:t>智算中心轻量化管理门户项目</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20"/>
              </w:rPr>
              <w:t>招标人</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20"/>
              </w:rPr>
              <w:t>待填写</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20"/>
              </w:rPr>
              <w:t>投标人</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20"/>
              </w:rPr>
              <w:t>待填写</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20"/>
              </w:rPr>
              <w:t>项目编号</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20"/>
              </w:rPr>
              <w:t>待填写</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20"/>
              </w:rPr>
              <w:t>投标日期</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20"/>
              </w:rPr>
              <w:t>2026年09月06日</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20"/>
              </w:rPr>
              <w:t>文件属性</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20"/>
              </w:rPr>
              <w:t>正本  副本  电子版  按招标文件勾选</w:t>
            </w:r>
          </w:p>
        </w:tc>
      </w:tr>
    </w:tbl>
    <w:p>
      <w:pPr>
        <w:spacing w:after="20"/>
      </w:pPr>
    </w:p>
    <w:p>
      <w:pPr>
        <w:spacing w:before="160"/>
        <w:jc w:val="center"/>
      </w:pPr>
      <w:r>
        <w:rPr>
          <w:color w:val="5F6B73"/>
          <w:sz w:val="17"/>
        </w:rPr>
        <w:t>提示  本稿依据当前代码仓库与配套文档编制  商务报价  法定资质  人员履历及招标人专用条款须在正式投标前补齐</w:t>
      </w:r>
    </w:p>
    <w:p>
      <w:r>
        <w:br w:type="page"/>
      </w:r>
    </w:p>
    <w:p>
      <w:pPr>
        <w:pStyle w:val="Title"/>
        <w:jc w:val="center"/>
      </w:pPr>
      <w:r>
        <w:rPr>
          <w:sz w:val="40"/>
        </w:rPr>
        <w:t>目录</w:t>
      </w:r>
    </w:p>
    <w:p/>
    <w:p>
      <w:pPr>
        <w:tabs>
          <w:tab w:pos="8712" w:val="left"/>
        </w:tabs>
        <w:spacing w:after="100"/>
      </w:pPr>
      <w:r>
        <w:rPr>
          <w:sz w:val="21"/>
        </w:rPr>
        <w:t>0  投标文件使用说明</w:t>
        <w:tab/>
        <w:t>3</w:t>
      </w:r>
    </w:p>
    <w:p>
      <w:pPr>
        <w:tabs>
          <w:tab w:pos="8712" w:val="left"/>
        </w:tabs>
        <w:spacing w:after="100"/>
      </w:pPr>
      <w:r>
        <w:rPr>
          <w:sz w:val="21"/>
        </w:rPr>
        <w:t>1  投标函及项目响应摘要</w:t>
        <w:tab/>
        <w:t>4</w:t>
      </w:r>
    </w:p>
    <w:p>
      <w:pPr>
        <w:tabs>
          <w:tab w:pos="8712" w:val="left"/>
        </w:tabs>
        <w:spacing w:after="100"/>
      </w:pPr>
      <w:r>
        <w:rPr>
          <w:sz w:val="21"/>
        </w:rPr>
        <w:t>2  项目理解与建设目标</w:t>
        <w:tab/>
        <w:t>6</w:t>
      </w:r>
    </w:p>
    <w:p>
      <w:pPr>
        <w:tabs>
          <w:tab w:pos="8712" w:val="left"/>
        </w:tabs>
        <w:spacing w:after="100"/>
      </w:pPr>
      <w:r>
        <w:rPr>
          <w:sz w:val="21"/>
        </w:rPr>
        <w:t>3  总体技术方案</w:t>
        <w:tab/>
        <w:t>7</w:t>
      </w:r>
    </w:p>
    <w:p>
      <w:pPr>
        <w:tabs>
          <w:tab w:pos="8712" w:val="left"/>
        </w:tabs>
        <w:spacing w:after="100"/>
      </w:pPr>
      <w:r>
        <w:rPr>
          <w:sz w:val="21"/>
        </w:rPr>
        <w:t>4  功能方案与需求响应</w:t>
        <w:tab/>
        <w:t>10</w:t>
      </w:r>
    </w:p>
    <w:p>
      <w:pPr>
        <w:tabs>
          <w:tab w:pos="8712" w:val="left"/>
        </w:tabs>
        <w:spacing w:after="100"/>
      </w:pPr>
      <w:r>
        <w:rPr>
          <w:sz w:val="21"/>
        </w:rPr>
        <w:t>5  权限与安全方案</w:t>
        <w:tab/>
        <w:t>15</w:t>
      </w:r>
    </w:p>
    <w:p>
      <w:pPr>
        <w:tabs>
          <w:tab w:pos="8712" w:val="left"/>
        </w:tabs>
        <w:spacing w:after="100"/>
      </w:pPr>
      <w:r>
        <w:rPr>
          <w:sz w:val="21"/>
        </w:rPr>
        <w:t>6  实施与交付方案</w:t>
        <w:tab/>
        <w:t>17</w:t>
      </w:r>
    </w:p>
    <w:p>
      <w:pPr>
        <w:tabs>
          <w:tab w:pos="8712" w:val="left"/>
        </w:tabs>
        <w:spacing w:after="100"/>
      </w:pPr>
      <w:r>
        <w:rPr>
          <w:sz w:val="21"/>
        </w:rPr>
        <w:t>7  质量保证与测试方案</w:t>
        <w:tab/>
        <w:t>19</w:t>
      </w:r>
    </w:p>
    <w:p>
      <w:pPr>
        <w:tabs>
          <w:tab w:pos="8712" w:val="left"/>
        </w:tabs>
        <w:spacing w:after="100"/>
      </w:pPr>
      <w:r>
        <w:rPr>
          <w:sz w:val="21"/>
        </w:rPr>
        <w:t>8  培训 运维与服务方案</w:t>
        <w:tab/>
        <w:t>21</w:t>
      </w:r>
    </w:p>
    <w:p>
      <w:pPr>
        <w:tabs>
          <w:tab w:pos="8712" w:val="left"/>
        </w:tabs>
        <w:spacing w:after="100"/>
      </w:pPr>
      <w:r>
        <w:rPr>
          <w:sz w:val="21"/>
        </w:rPr>
        <w:t>9  验收方案</w:t>
        <w:tab/>
        <w:t>23</w:t>
      </w:r>
    </w:p>
    <w:p>
      <w:pPr>
        <w:tabs>
          <w:tab w:pos="8712" w:val="left"/>
        </w:tabs>
        <w:spacing w:after="100"/>
      </w:pPr>
      <w:r>
        <w:rPr>
          <w:sz w:val="21"/>
        </w:rPr>
        <w:t>10  项目管理与风险控制</w:t>
        <w:tab/>
        <w:t>25</w:t>
      </w:r>
    </w:p>
    <w:p>
      <w:pPr>
        <w:tabs>
          <w:tab w:pos="8712" w:val="left"/>
        </w:tabs>
        <w:spacing w:after="100"/>
      </w:pPr>
      <w:r>
        <w:rPr>
          <w:sz w:val="21"/>
        </w:rPr>
        <w:t>11  商务与合同建议条款</w:t>
        <w:tab/>
        <w:t>27</w:t>
      </w:r>
    </w:p>
    <w:p>
      <w:pPr>
        <w:tabs>
          <w:tab w:pos="8712" w:val="left"/>
        </w:tabs>
        <w:spacing w:after="100"/>
      </w:pPr>
      <w:r>
        <w:rPr>
          <w:sz w:val="21"/>
        </w:rPr>
        <w:t>12  技术偏离与待确认事项</w:t>
        <w:tab/>
        <w:t>28</w:t>
      </w:r>
    </w:p>
    <w:p>
      <w:pPr>
        <w:tabs>
          <w:tab w:pos="8712" w:val="left"/>
        </w:tabs>
        <w:spacing w:after="100"/>
      </w:pPr>
      <w:r>
        <w:rPr>
          <w:sz w:val="21"/>
        </w:rPr>
        <w:t>附录 A  主要配置与环境要求</w:t>
        <w:tab/>
        <w:t>29</w:t>
      </w:r>
    </w:p>
    <w:p>
      <w:pPr>
        <w:tabs>
          <w:tab w:pos="8712" w:val="left"/>
        </w:tabs>
        <w:spacing w:after="100"/>
      </w:pPr>
      <w:r>
        <w:rPr>
          <w:sz w:val="21"/>
        </w:rPr>
        <w:t>附录 B  投标人信息与签署页</w:t>
        <w:tab/>
        <w:t>30</w:t>
      </w:r>
    </w:p>
    <w:p>
      <w:pPr>
        <w:jc w:val="center"/>
      </w:pPr>
      <w:r>
        <w:rPr>
          <w:color w:val="5F6B73"/>
          <w:sz w:val="17"/>
        </w:rPr>
        <w:t>目录页码按本稿版式编排  内容调整后请在定稿时复核</w:t>
      </w:r>
    </w:p>
    <w:p>
      <w:r>
        <w:br w:type="page"/>
      </w:r>
    </w:p>
    <w:p>
      <w:pPr>
        <w:pStyle w:val="Heading1"/>
      </w:pPr>
      <w:r>
        <w:t>0  投标文件使用说明</w:t>
      </w:r>
    </w:p>
    <w:p>
      <w:pPr>
        <w:ind w:firstLine="420"/>
      </w:pPr>
      <w:r>
        <w:t>本文件是一份可直接进入评审和定稿流程的技术投标稿，依据 openhpc_webui 0.3.0 当前代码、测试及项目文档编制。内容覆盖需求理解、总体方案、功能响应、技术架构、实施交付、安全、测试、培训、运维与验收。</w:t>
      </w:r>
    </w:p>
    <w:p>
      <w:pPr>
        <w:ind w:firstLine="420"/>
      </w:pPr>
      <w:r>
        <w:t>招标人名称、项目编号、采购预算、工期、服务地点、付款条件、投标人法定信息、人员证书、同类业绩、报价表和偏离表等尚无可靠来源，均保留为待填写或待确认项。正式投标时应以招标文件的章节顺序、评分办法和格式要求为准完成重排。</w:t>
      </w:r>
    </w:p>
    <w:tbl>
      <w:tblPr>
        <w:tblW w:type="auto" w:w="0"/>
        <w:jc w:val="center"/>
        <w:tblLayout w:type="fixed"/>
        <w:tblLook w:firstColumn="1" w:firstRow="1" w:lastColumn="0" w:lastRow="0" w:noHBand="0" w:noVBand="1" w:val="04A0"/>
      </w:tblPr>
      <w:tblGrid>
        <w:gridCol w:w="3341"/>
        <w:gridCol w:w="3341"/>
        <w:gridCol w:w="3341"/>
      </w:tblGrid>
      <w:tr>
        <w:trPr>
          <w:tblHeader w:val="true"/>
        </w:trPr>
        <w:tc>
          <w:tcPr>
            <w:tcW w:type="dxa" w:w="1440"/>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标识</w:t>
            </w:r>
          </w:p>
        </w:tc>
        <w:tc>
          <w:tcPr>
            <w:tcW w:type="dxa" w:w="3672"/>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含义</w:t>
            </w:r>
          </w:p>
        </w:tc>
        <w:tc>
          <w:tcPr>
            <w:tcW w:type="dxa" w:w="4104"/>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定稿动作</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待填写</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属于投标人或招标项目的专属信息</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由投标负责人依据盖章材料填写</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待确认</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会影响范围、工期、费用或验收的条件</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在澄清或合同评审阶段闭环</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现有能力</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可从当前仓库代码、测试或文档确认</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可进入演示及验收用例</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建议方案</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为形成完整交付而提出的实施建议</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经双方确认后纳入项目基线</w:t>
            </w:r>
          </w:p>
        </w:tc>
      </w:tr>
    </w:tbl>
    <w:p>
      <w:pPr>
        <w:spacing w:after="20"/>
      </w:pPr>
    </w:p>
    <w:p>
      <w:pPr>
        <w:pStyle w:val="Heading2"/>
      </w:pPr>
      <w:r>
        <w:t>文件组成与定稿清单</w:t>
      </w:r>
    </w:p>
    <w:p>
      <w:pPr>
        <w:pStyle w:val="ListBullet"/>
        <w:spacing w:after="60"/>
        <w:ind w:left="317" w:hanging="216"/>
      </w:pPr>
      <w:r>
        <w:t>本技术投标文件不包含报价金额、税率、付款计划和履约担保金额。</w:t>
      </w:r>
    </w:p>
    <w:p>
      <w:pPr>
        <w:pStyle w:val="ListBullet"/>
        <w:spacing w:after="60"/>
        <w:ind w:left="317" w:hanging="216"/>
      </w:pPr>
      <w:r>
        <w:t>投标人应补充法定代表人身份证明、授权委托书、营业执照、资质证书、信用声明和同类项目业绩。</w:t>
      </w:r>
    </w:p>
    <w:p>
      <w:pPr>
        <w:pStyle w:val="ListBullet"/>
        <w:spacing w:after="60"/>
        <w:ind w:left="317" w:hanging="216"/>
      </w:pPr>
      <w:r>
        <w:t>若招标文件给出逐条技术参数，应将本文件第 4 章改造成与参数编号完全一致的响应表。</w:t>
      </w:r>
    </w:p>
    <w:p>
      <w:pPr>
        <w:pStyle w:val="ListBullet"/>
        <w:spacing w:after="60"/>
        <w:ind w:left="317" w:hanging="216"/>
      </w:pPr>
      <w:r>
        <w:t>涉及 Web 终端与终端 AI 的范围应由招标人明确是否启用；默认建议生产环境关闭未完成安全评审的高权限功能。</w:t>
      </w:r>
    </w:p>
    <w:p>
      <w:pPr>
        <w:pStyle w:val="ListBullet"/>
        <w:spacing w:after="60"/>
        <w:ind w:left="317" w:hanging="216"/>
      </w:pPr>
      <w:r>
        <w:t>文中涉及的节点数量、并发用户数、保留期限、服务级别和培训场次均应在合同前确认。</w:t>
      </w:r>
    </w:p>
    <w:p>
      <w:r>
        <w:br w:type="page"/>
      </w:r>
    </w:p>
    <w:p>
      <w:pPr>
        <w:pStyle w:val="Heading1"/>
      </w:pPr>
      <w:r>
        <w:t>1  投标函及项目响应摘要</w:t>
      </w:r>
    </w:p>
    <w:p>
      <w:pPr>
        <w:pStyle w:val="Heading2"/>
      </w:pPr>
      <w:r>
        <w:t>1.1 投标函</w:t>
      </w:r>
    </w:p>
    <w:p>
      <w:pPr>
        <w:ind w:firstLine="420"/>
      </w:pPr>
      <w:r>
        <w:t>致  待填写招标人</w:t>
      </w:r>
    </w:p>
    <w:p>
      <w:pPr>
        <w:ind w:firstLine="420"/>
      </w:pPr>
      <w:r>
        <w:t>我方在研究项目需求并核查现有产品能力后，拟以 OpenHPC WebUI 为基础，为贵方建设智算中心轻量化管理门户。方案以统一入口整合 OpenLDAP 身份、Slurm 账户与资源、作业、文件和交互式终端，在受控内网及离线条件下完成部署，不改变 Slurm 与 LDAP 作为权威系统的职责边界。</w:t>
      </w:r>
    </w:p>
    <w:p>
      <w:pPr>
        <w:ind w:firstLine="420"/>
      </w:pPr>
      <w:r>
        <w:t>我方承诺在双方确认的项目范围、实施计划、验收标准和安全基线内完成软件部署、配置适配、测试、文档、培训和试运行支持。涉及第三方系统接口、底层集群权限、基础设施改造及新增定制功能的工作量，将在现场调研后形成范围基线并经双方书面确认。</w:t>
      </w:r>
    </w:p>
    <w:p>
      <w:r>
        <w:t>投标人  待填写    法定代表人或授权代表  待签字    日期  待填写</w:t>
      </w:r>
    </w:p>
    <w:p>
      <w:pPr>
        <w:pStyle w:val="Heading2"/>
      </w:pPr>
      <w:r>
        <w:t>1.2 项目响应结论</w:t>
      </w:r>
    </w:p>
    <w:tbl>
      <w:tblPr>
        <w:tblW w:type="auto" w:w="0"/>
        <w:jc w:val="center"/>
        <w:tblLayout w:type="fixed"/>
        <w:tblLook w:firstColumn="1" w:firstRow="1" w:lastColumn="0" w:lastRow="0" w:noHBand="0" w:noVBand="1" w:val="04A0"/>
      </w:tblPr>
      <w:tblGrid>
        <w:gridCol w:w="3341"/>
        <w:gridCol w:w="3341"/>
        <w:gridCol w:w="3341"/>
      </w:tblGrid>
      <w:tr>
        <w:trPr>
          <w:tblHeader w:val="true"/>
        </w:trPr>
        <w:tc>
          <w:tcPr>
            <w:tcW w:type="dxa" w:w="1872"/>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评审关注点</w:t>
            </w:r>
          </w:p>
        </w:tc>
        <w:tc>
          <w:tcPr>
            <w:tcW w:type="dxa" w:w="6408"/>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本方案响应</w:t>
            </w:r>
          </w:p>
        </w:tc>
        <w:tc>
          <w:tcPr>
            <w:tcW w:type="dxa" w:w="1008"/>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结论</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统一管理</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覆盖 LDAP 用户与组、Slurm 账户与关联、QOS、分区、节点、作业、配额及管理员权限</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满足</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离线运行</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前端样式、脚本、图标及 xterm.js 均随应用本地交付，不依赖公共 CDN</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满足</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中文门户</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采用中文管理界面、固定侧边栏、面包屑、表格和状态标签</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满足</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权限控制</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管理员与普通用户分权；普通用户的作业输出、取消、文件及终端范围受限</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满足</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安全审计</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会话认证、登录限流、请求标识、结构化访问日志和写操作审计，并对敏感字段脱敏</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满足</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部署运维</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支持 Python 3.9 及以上、Uvicorn、Nginx、Supervisor，提供升级与回滚步骤</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满足</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商业与工期</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须结合招标文件、现场规模和定制清单确认</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待确认</w:t>
            </w:r>
          </w:p>
        </w:tc>
      </w:tr>
    </w:tbl>
    <w:p>
      <w:pPr>
        <w:spacing w:after="20"/>
      </w:pPr>
    </w:p>
    <w:p>
      <w:pPr>
        <w:pStyle w:val="Heading2"/>
      </w:pPr>
      <w:r>
        <w:t>1.3 方案价值</w:t>
      </w:r>
    </w:p>
    <w:p>
      <w:pPr>
        <w:pStyle w:val="ListBullet"/>
        <w:spacing w:after="60"/>
        <w:ind w:left="317" w:hanging="216"/>
      </w:pPr>
      <w:r>
        <w:t>降低多套命令行工具带来的学习成本，让日常身份、资源和作业操作在一个中文入口完成。</w:t>
      </w:r>
    </w:p>
    <w:p>
      <w:pPr>
        <w:pStyle w:val="ListBullet"/>
        <w:spacing w:after="60"/>
        <w:ind w:left="317" w:hanging="216"/>
      </w:pPr>
      <w:r>
        <w:t>保留 OpenLDAP、Slurm 与 Linux 权限体系的权威性，门户不自建重复的核心身份或调度数据库。</w:t>
      </w:r>
    </w:p>
    <w:p>
      <w:pPr>
        <w:pStyle w:val="ListBullet"/>
        <w:spacing w:after="60"/>
        <w:ind w:left="317" w:hanging="216"/>
      </w:pPr>
      <w:r>
        <w:t>适应科研内网和离线网络，降低对公共网络与外部静态资源的运行依赖。</w:t>
      </w:r>
    </w:p>
    <w:p>
      <w:pPr>
        <w:pStyle w:val="ListBullet"/>
        <w:spacing w:after="60"/>
        <w:ind w:left="317" w:hanging="216"/>
      </w:pPr>
      <w:r>
        <w:t>通过审计、最小权限、路径边界和操作确认机制，提高高风险管理动作的可追踪性。</w:t>
      </w:r>
    </w:p>
    <w:p>
      <w:pPr>
        <w:pStyle w:val="ListBullet"/>
        <w:spacing w:after="60"/>
        <w:ind w:left="317" w:hanging="216"/>
      </w:pPr>
      <w:r>
        <w:t>以轻量 Python 技术栈交付，便于现有运维团队理解、二次开发、升级和故障定位。</w:t>
      </w:r>
    </w:p>
    <w:p>
      <w:r>
        <w:br w:type="page"/>
      </w:r>
    </w:p>
    <w:p>
      <w:pPr>
        <w:pStyle w:val="Heading1"/>
      </w:pPr>
      <w:r>
        <w:t>2  项目理解与建设目标</w:t>
      </w:r>
    </w:p>
    <w:p>
      <w:pPr>
        <w:pStyle w:val="Heading2"/>
      </w:pPr>
      <w:r>
        <w:t>2.1 现状与痛点理解</w:t>
      </w:r>
    </w:p>
    <w:p>
      <w:pPr>
        <w:ind w:firstLine="420"/>
      </w:pPr>
      <w:r>
        <w:t>高校、科研机构和企业智算中心通常同时运行 LDAP、SSSD、Slurm、共享存储、登录节点和反向代理。身份、账户、分区、节点与作业信息分散在多个命令、配置文件和管理界面中，日常操作依赖少数熟悉底层环境的管理员。离线内网进一步限制了云端控制台与公共 CDN 的使用。</w:t>
      </w:r>
    </w:p>
    <w:p>
      <w:pPr>
        <w:ind w:firstLine="420"/>
      </w:pPr>
      <w:r>
        <w:t>本项目的核心不是替换调度器或目录服务，而是提供一个受控的管理入口，将高频操作标准化、可视化并留痕，同时把权限判断落实到门户、操作系统、文件系统和 Slurm 多层边界。</w:t>
      </w:r>
    </w:p>
    <w:p>
      <w:pPr>
        <w:pStyle w:val="Heading2"/>
      </w:pPr>
      <w:r>
        <w:t>2.2 建设目标</w:t>
      </w:r>
    </w:p>
    <w:p>
      <w:pPr>
        <w:pStyle w:val="ListNumber"/>
        <w:spacing w:after="80"/>
        <w:ind w:left="403" w:hanging="259"/>
      </w:pPr>
      <w:r>
        <w:t>建设统一中文门户，集中呈现集群概况、用户、账户、分区、节点和作业状态。</w:t>
      </w:r>
    </w:p>
    <w:p>
      <w:pPr>
        <w:pStyle w:val="ListNumber"/>
        <w:spacing w:after="80"/>
        <w:ind w:left="403" w:hanging="259"/>
      </w:pPr>
      <w:r>
        <w:t>打通 LDAP 身份与 Slurm Association 的常用维护流程，减少重复录入。</w:t>
      </w:r>
    </w:p>
    <w:p>
      <w:pPr>
        <w:pStyle w:val="ListNumber"/>
        <w:spacing w:after="80"/>
        <w:ind w:left="403" w:hanging="259"/>
      </w:pPr>
      <w:r>
        <w:t>提供面向管理员和普通用户的差异化功能与数据边界。</w:t>
      </w:r>
    </w:p>
    <w:p>
      <w:pPr>
        <w:pStyle w:val="ListNumber"/>
        <w:spacing w:after="80"/>
        <w:ind w:left="403" w:hanging="259"/>
      </w:pPr>
      <w:r>
        <w:t>支持离线安装、内网部署、HTTPS 反向代理、进程托管、升级与回滚。</w:t>
      </w:r>
    </w:p>
    <w:p>
      <w:pPr>
        <w:pStyle w:val="ListNumber"/>
        <w:spacing w:after="80"/>
        <w:ind w:left="403" w:hanging="259"/>
      </w:pPr>
      <w:r>
        <w:t>建立可验证的测试和验收体系，使关键业务流程能够复测和追溯。</w:t>
      </w:r>
    </w:p>
    <w:p>
      <w:pPr>
        <w:pStyle w:val="Heading2"/>
      </w:pPr>
      <w:r>
        <w:t>2.3 建设原则</w:t>
      </w:r>
    </w:p>
    <w:tbl>
      <w:tblPr>
        <w:tblW w:type="auto" w:w="0"/>
        <w:jc w:val="center"/>
        <w:tblLayout w:type="fixed"/>
        <w:tblLook w:firstColumn="1" w:firstRow="1" w:lastColumn="0" w:lastRow="0" w:noHBand="0" w:noVBand="1" w:val="04A0"/>
      </w:tblPr>
      <w:tblGrid>
        <w:gridCol w:w="5011"/>
        <w:gridCol w:w="5011"/>
      </w:tblGrid>
      <w:tr>
        <w:trPr>
          <w:tblHeader w:val="true"/>
        </w:trPr>
        <w:tc>
          <w:tcPr>
            <w:tcW w:type="dxa" w:w="1944"/>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原则</w:t>
            </w:r>
          </w:p>
        </w:tc>
        <w:tc>
          <w:tcPr>
            <w:tcW w:type="dxa" w:w="7272"/>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说明</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权威系统不变</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LDAP 管理身份，Slurm 管理调度与计费，Linux 文件权限约束实际访问。</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最小权限</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门户运行账户仅获得完成约定业务所需的 LDAP、Slurm 和文件权限。</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配置驱动</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站点地址、目录、容量、终端和安全选项通过环境配置管理。</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离线优先</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浏览器端运行资源随软件包交付，部署不依赖公网。</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渐进上线</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调研、适配、测试、试运行和验收分阶段推进，避免直接在生产环境试错。</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可审计</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关键变更记录操作者、来源、对象、前后状态、结果与请求标识。</w:t>
            </w:r>
          </w:p>
        </w:tc>
      </w:tr>
    </w:tbl>
    <w:p>
      <w:pPr>
        <w:spacing w:after="20"/>
      </w:pPr>
    </w:p>
    <w:p>
      <w:r>
        <w:br w:type="page"/>
      </w:r>
    </w:p>
    <w:p>
      <w:pPr>
        <w:pStyle w:val="Heading1"/>
      </w:pPr>
      <w:r>
        <w:t>3  总体技术方案</w:t>
      </w:r>
    </w:p>
    <w:p>
      <w:pPr>
        <w:pStyle w:val="Heading2"/>
      </w:pPr>
      <w:r>
        <w:t>3.1 总体架构</w:t>
      </w:r>
    </w:p>
    <w:p>
      <w:pPr>
        <w:ind w:firstLine="420"/>
      </w:pPr>
      <w:r>
        <w:t>系统采用浏览器、Web 应用与基础设施三层结构。浏览器通过 HTTPS 访问 Nginx，由 Nginx 将 HTTP 与 WebSocket 请求转发到 Uvicorn。FastAPI 提供页面、接口、会话和审计能力，服务层分别访问 OpenLDAP、Slurm CLI、配置文件、共享存储和本机 PTY。</w:t>
      </w:r>
    </w:p>
    <w:tbl>
      <w:tblPr>
        <w:tblW w:type="auto" w:w="0"/>
        <w:jc w:val="center"/>
        <w:tblLayout w:type="fixed"/>
        <w:tblLook w:firstColumn="1" w:firstRow="1" w:lastColumn="0" w:lastRow="0" w:noHBand="0" w:noVBand="1" w:val="04A0"/>
      </w:tblPr>
      <w:tblGrid>
        <w:gridCol w:w="2505"/>
        <w:gridCol w:w="2505"/>
        <w:gridCol w:w="2505"/>
        <w:gridCol w:w="2505"/>
      </w:tblGrid>
      <w:tr>
        <w:trPr>
          <w:tblHeader w:val="true"/>
        </w:trPr>
        <w:tc>
          <w:tcPr>
            <w:tcW w:type="dxa" w:w="1944"/>
            <w:shd w:fill="DC3023"/>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访问层</w:t>
            </w:r>
          </w:p>
        </w:tc>
        <w:tc>
          <w:tcPr>
            <w:tcW w:type="dxa" w:w="2664"/>
            <w:shd w:fill="DC3023"/>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应用层</w:t>
            </w:r>
          </w:p>
        </w:tc>
        <w:tc>
          <w:tcPr>
            <w:tcW w:type="dxa" w:w="2448"/>
            <w:shd w:fill="DC3023"/>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集成层</w:t>
            </w:r>
          </w:p>
        </w:tc>
        <w:tc>
          <w:tcPr>
            <w:tcW w:type="dxa" w:w="2160"/>
            <w:shd w:fill="DC3023"/>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基础设施层</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管理员浏览器</w:t>
              <w:br/>
              <w:t>普通用户浏览器</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Nginx HTTPS</w:t>
              <w:br/>
              <w:t>Uvicorn FastAPI</w:t>
              <w:br/>
              <w:t>Jinja2 页面与 API</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LDAP 服务封装</w:t>
              <w:br/>
              <w:t>Slurm 命令封装</w:t>
              <w:br/>
              <w:t>文件与终端封装</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OpenLDAP</w:t>
              <w:br/>
              <w:t>Slurm 控制端与数据库</w:t>
              <w:br/>
              <w:t>NFS 或共享存储</w:t>
              <w:br/>
              <w:t>Linux 登录节点</w:t>
            </w:r>
          </w:p>
        </w:tc>
      </w:tr>
    </w:tbl>
    <w:p>
      <w:pPr>
        <w:spacing w:after="20"/>
      </w:pPr>
    </w:p>
    <w:p>
      <w:pPr>
        <w:pStyle w:val="Heading2"/>
      </w:pPr>
      <w:r>
        <w:t>3.2 技术栈</w:t>
      </w:r>
    </w:p>
    <w:tbl>
      <w:tblPr>
        <w:tblW w:type="auto" w:w="0"/>
        <w:jc w:val="center"/>
        <w:tblLayout w:type="fixed"/>
        <w:tblLook w:firstColumn="1" w:firstRow="1" w:lastColumn="0" w:lastRow="0" w:noHBand="0" w:noVBand="1" w:val="04A0"/>
      </w:tblPr>
      <w:tblGrid>
        <w:gridCol w:w="3341"/>
        <w:gridCol w:w="3341"/>
        <w:gridCol w:w="3341"/>
      </w:tblGrid>
      <w:tr>
        <w:trPr>
          <w:tblHeader w:val="true"/>
        </w:trPr>
        <w:tc>
          <w:tcPr>
            <w:tcW w:type="dxa" w:w="1296"/>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层次</w:t>
            </w:r>
          </w:p>
        </w:tc>
        <w:tc>
          <w:tcPr>
            <w:tcW w:type="dxa" w:w="3312"/>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技术</w:t>
            </w:r>
          </w:p>
        </w:tc>
        <w:tc>
          <w:tcPr>
            <w:tcW w:type="dxa" w:w="4608"/>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用途与边界</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后端</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Python 3.9 及以上  FastAPI  Uvicorn</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路由、会话、接口、页面渲染与服务编排</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前端</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Jinja2  原生 JavaScript  Tailwind CSS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中文管理界面；运行资源本地化</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身份</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ldap3  OpenLDAP</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用户认证、用户与组目录操作</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调度</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Slurm CLI</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调用 sinfo、squeue、sacct、scontrol、sacctmgr、scancel 等权威命令</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终端</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xterm.js  WebSocket  PTY</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登录节点交互式 Shell；按 Linux 身份降权</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部署</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uv  Nginx  Supervisor</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依赖锁定、TLS 入口、反向代理和进程托管</w:t>
            </w:r>
          </w:p>
        </w:tc>
      </w:tr>
    </w:tbl>
    <w:p>
      <w:pPr>
        <w:spacing w:after="20"/>
      </w:pPr>
    </w:p>
    <w:p>
      <w:pPr>
        <w:pStyle w:val="Heading2"/>
      </w:pPr>
      <w:r>
        <w:t>3.3 关键数据流</w:t>
      </w:r>
    </w:p>
    <w:p>
      <w:pPr>
        <w:pStyle w:val="ListNumber"/>
        <w:spacing w:after="80"/>
        <w:ind w:left="403" w:hanging="259"/>
      </w:pPr>
      <w:r>
        <w:t>用户提交登录凭据，服务端以用户身份绑定 LDAP；认证成功后建立签名 Session。</w:t>
      </w:r>
    </w:p>
    <w:p>
      <w:pPr>
        <w:pStyle w:val="ListNumber"/>
        <w:spacing w:after="80"/>
        <w:ind w:left="403" w:hanging="259"/>
      </w:pPr>
      <w:r>
        <w:t>页面或 API 根据 Session 识别用户与管理员角色，再调用对应服务模块。</w:t>
      </w:r>
    </w:p>
    <w:p>
      <w:pPr>
        <w:pStyle w:val="ListNumber"/>
        <w:spacing w:after="80"/>
        <w:ind w:left="403" w:hanging="259"/>
      </w:pPr>
      <w:r>
        <w:t>LDAP 变更由目录服务执行；Slurm 状态与变更通过命令行工具读写；门户不复制权威数据。</w:t>
      </w:r>
    </w:p>
    <w:p>
      <w:pPr>
        <w:pStyle w:val="ListNumber"/>
        <w:spacing w:after="80"/>
        <w:ind w:left="403" w:hanging="259"/>
      </w:pPr>
      <w:r>
        <w:t>所有变更类请求进入统一审计链路，记录动作、目标、修改前后状态、结果和请求标识。</w:t>
      </w:r>
    </w:p>
    <w:p>
      <w:pPr>
        <w:pStyle w:val="ListNumber"/>
        <w:spacing w:after="80"/>
        <w:ind w:left="403" w:hanging="259"/>
      </w:pPr>
      <w:r>
        <w:t>Web 终端在通过来源与身份校验后创建 PTY，并切换到当前同名 Linux 用户执行 Shell。</w:t>
      </w:r>
    </w:p>
    <w:p>
      <w:pPr>
        <w:pStyle w:val="Heading2"/>
      </w:pPr>
      <w:r>
        <w:t>3.4 部署拓扑建议</w:t>
      </w:r>
    </w:p>
    <w:p>
      <w:pPr>
        <w:ind w:firstLine="420"/>
      </w:pPr>
      <w:r>
        <w:t>建议将门户部署在能够访问 LDAP 与 Slurm 控制端的受控管理节点或登录节点，Uvicorn 仅监听 127.0.0.1，由 Nginx 对内提供 HTTPS。6827 端口不直接暴露到业务网络。若 Nginx 与应用分离，应明确可信代理地址并配置防火墙。</w:t>
      </w:r>
    </w:p>
    <w:tbl>
      <w:tblPr>
        <w:tblW w:type="auto" w:w="0"/>
        <w:jc w:val="center"/>
        <w:tblLayout w:type="fixed"/>
        <w:tblLook w:firstColumn="1" w:firstRow="1" w:lastColumn="0" w:lastRow="0" w:noHBand="0" w:noVBand="1" w:val="04A0"/>
      </w:tblPr>
      <w:tblGrid>
        <w:gridCol w:w="3341"/>
        <w:gridCol w:w="3341"/>
        <w:gridCol w:w="3341"/>
      </w:tblGrid>
      <w:tr>
        <w:trPr>
          <w:tblHeader w:val="true"/>
        </w:trPr>
        <w:tc>
          <w:tcPr>
            <w:tcW w:type="dxa" w:w="1512"/>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区域</w:t>
            </w:r>
          </w:p>
        </w:tc>
        <w:tc>
          <w:tcPr>
            <w:tcW w:type="dxa" w:w="2520"/>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组件</w:t>
            </w:r>
          </w:p>
        </w:tc>
        <w:tc>
          <w:tcPr>
            <w:tcW w:type="dxa" w:w="5184"/>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建议控制</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用户访问区</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浏览器</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仅允许授权网络访问 HTTPS；共享终端使用后主动退出</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接入区</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Nginx</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TLS、访问控制、WebSocket 转发、请求大小和超时策略</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应用区</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OpenHPC WebUI</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单进程基线、最小权限账户、受控环境变量、日志持久化</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管理区</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LDAP  Slurm  NFS</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仅开放必要端口与命令权限；配置文件备份和变更审计</w:t>
            </w:r>
          </w:p>
        </w:tc>
      </w:tr>
    </w:tbl>
    <w:p>
      <w:pPr>
        <w:spacing w:after="20"/>
      </w:pPr>
    </w:p>
    <w:p>
      <w:r>
        <w:br w:type="page"/>
      </w:r>
    </w:p>
    <w:p>
      <w:pPr>
        <w:pStyle w:val="Heading1"/>
      </w:pPr>
      <w:r>
        <w:t>4  功能方案与需求响应</w:t>
      </w:r>
    </w:p>
    <w:p>
      <w:pPr>
        <w:pStyle w:val="Heading2"/>
      </w:pPr>
      <w:r>
        <w:t>4.1 功能响应总表</w:t>
      </w:r>
    </w:p>
    <w:tbl>
      <w:tblPr>
        <w:tblW w:type="auto" w:w="0"/>
        <w:jc w:val="center"/>
        <w:tblLayout w:type="fixed"/>
        <w:tblLook w:firstColumn="1" w:firstRow="1" w:lastColumn="0" w:lastRow="0" w:noHBand="0" w:noVBand="1" w:val="04A0"/>
      </w:tblPr>
      <w:tblGrid>
        <w:gridCol w:w="2505"/>
        <w:gridCol w:w="2505"/>
        <w:gridCol w:w="2505"/>
        <w:gridCol w:w="2505"/>
      </w:tblGrid>
      <w:tr>
        <w:trPr>
          <w:tblHeader w:val="true"/>
        </w:trPr>
        <w:tc>
          <w:tcPr>
            <w:tcW w:type="dxa" w:w="648"/>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7"/>
              </w:rPr>
              <w:t>序号</w:t>
            </w:r>
          </w:p>
        </w:tc>
        <w:tc>
          <w:tcPr>
            <w:tcW w:type="dxa" w:w="1512"/>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7"/>
              </w:rPr>
              <w:t>需求域</w:t>
            </w:r>
          </w:p>
        </w:tc>
        <w:tc>
          <w:tcPr>
            <w:tcW w:type="dxa" w:w="5832"/>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7"/>
              </w:rPr>
              <w:t>响应内容</w:t>
            </w:r>
          </w:p>
        </w:tc>
        <w:tc>
          <w:tcPr>
            <w:tcW w:type="dxa" w:w="1224"/>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7"/>
              </w:rPr>
              <w:t>状态</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系统总览</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LDAP 用户数、活动作业、空闲节点、近期作业和分区状态</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现有能力</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2</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用户与组</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LDAP 用户增删改、禁用、密码、SSH 密钥、配额、组维护</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现有能力</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3</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Slurm 账户</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账户、用户关联、QOS、默认 QOS、分区和 TRES Minutes</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现有能力</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4</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分区与节点</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配置维护、状态统计、Drain、Resume 与重载</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现有能力</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作业</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活动与近期完成作业、详情、取消、输出和资源监控</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现有能力</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6</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文件</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分页浏览、编辑、上传下载、新建、重命名与删除</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现有能力</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7</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Web 终端</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交互式 Shell、并发与超时、离开确认、断线清理</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可选启用</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8</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终端 AI</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兼容模型服务、逐步确认、风险识别、本地加密持久化</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可选启用</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9</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审计运维</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结构化日志、请求标识、写操作审计、配置与升级文档</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现有能力</w:t>
            </w:r>
          </w:p>
        </w:tc>
      </w:tr>
    </w:tbl>
    <w:p>
      <w:pPr>
        <w:spacing w:after="20"/>
      </w:pPr>
    </w:p>
    <w:p>
      <w:pPr>
        <w:pStyle w:val="Heading2"/>
      </w:pPr>
      <w:r>
        <w:t>4.2 系统总览</w:t>
      </w:r>
    </w:p>
    <w:p>
      <w:pPr>
        <w:ind w:firstLine="420"/>
      </w:pPr>
      <w:r>
        <w:t>管理员首页集中显示 LDAP 用户数量、运行与排队作业、空闲节点、近期活动作业和分区状态。该页面用于日常值守快速判断，不替代监控告警平台；故障诊断仍以 Slurm、节点监控和系统日志为准。</w:t>
      </w:r>
    </w:p>
    <w:p>
      <w:pPr>
        <w:keepNext/>
        <w:jc w:val="center"/>
      </w:pPr>
      <w:r>
        <w:drawing>
          <wp:inline xmlns:a="http://schemas.openxmlformats.org/drawingml/2006/main" xmlns:pic="http://schemas.openxmlformats.org/drawingml/2006/picture">
            <wp:extent cx="5715000" cy="2866430"/>
            <wp:docPr id="1" name="Picture 1"/>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5715000" cy="2866430"/>
                    </a:xfrm>
                    <a:prstGeom prst="rect"/>
                  </pic:spPr>
                </pic:pic>
              </a:graphicData>
            </a:graphic>
          </wp:inline>
        </w:drawing>
      </w:r>
    </w:p>
    <w:p>
      <w:pPr>
        <w:spacing w:after="160"/>
        <w:jc w:val="center"/>
      </w:pPr>
      <w:r>
        <w:rPr>
          <w:color w:val="5F6B73"/>
          <w:sz w:val="18"/>
        </w:rPr>
        <w:t>图 1  系统总览界面</w:t>
      </w:r>
    </w:p>
    <w:p>
      <w:pPr>
        <w:pStyle w:val="Heading2"/>
      </w:pPr>
      <w:r>
        <w:t>4.3 LDAP 用户与组管理</w:t>
      </w:r>
    </w:p>
    <w:p>
      <w:pPr>
        <w:pStyle w:val="ListBullet"/>
        <w:spacing w:after="60"/>
        <w:ind w:left="317" w:hanging="216"/>
      </w:pPr>
      <w:r>
        <w:t>查询、创建、编辑和删除 LDAP 用户；维护 UID、GID、Home、Shell、显示名称与密码。</w:t>
      </w:r>
    </w:p>
    <w:p>
      <w:pPr>
        <w:pStyle w:val="ListBullet"/>
        <w:spacing w:after="60"/>
        <w:ind w:left="317" w:hanging="216"/>
      </w:pPr>
      <w:r>
        <w:t>通过不可登录 Shell 禁用账户；已禁用用户的既有 Session 会在后续请求中失效。</w:t>
      </w:r>
    </w:p>
    <w:p>
      <w:pPr>
        <w:pStyle w:val="ListBullet"/>
        <w:spacing w:after="60"/>
        <w:ind w:left="317" w:hanging="216"/>
      </w:pPr>
      <w:r>
        <w:t>生成或重置 SSH 密钥；私钥只在业务流程中交付，不写入审计日志。</w:t>
      </w:r>
    </w:p>
    <w:p>
      <w:pPr>
        <w:pStyle w:val="ListBullet"/>
        <w:spacing w:after="60"/>
        <w:ind w:left="317" w:hanging="216"/>
      </w:pPr>
      <w:r>
        <w:t>维护 LDAP 组及成员接口，并在用户列表展示组信息。</w:t>
      </w:r>
    </w:p>
    <w:p>
      <w:pPr>
        <w:pStyle w:val="ListBullet"/>
        <w:spacing w:after="60"/>
        <w:ind w:left="317" w:hanging="216"/>
      </w:pPr>
      <w:r>
        <w:t>创建 LDAP 用户时可同步建立默认 Slurm 账户关联；删除时可移除对应关联。</w:t>
      </w:r>
    </w:p>
    <w:p>
      <w:pPr>
        <w:pStyle w:val="ListBullet"/>
        <w:spacing w:after="60"/>
        <w:ind w:left="317" w:hanging="216"/>
      </w:pPr>
      <w:r>
        <w:t>可接入 NFS quota，显示与调整用户存储配额；未启用 quota 时不影响身份维护。</w:t>
      </w:r>
    </w:p>
    <w:p>
      <w:pPr>
        <w:keepNext/>
        <w:jc w:val="center"/>
      </w:pPr>
      <w:r>
        <w:drawing>
          <wp:inline xmlns:a="http://schemas.openxmlformats.org/drawingml/2006/main" xmlns:pic="http://schemas.openxmlformats.org/drawingml/2006/picture">
            <wp:extent cx="5715000" cy="2866430"/>
            <wp:docPr id="2" name="Picture 2"/>
            <wp:cNvGraphicFramePr>
              <a:graphicFrameLocks noChangeAspect="1"/>
            </wp:cNvGraphicFramePr>
            <a:graphic>
              <a:graphicData uri="http://schemas.openxmlformats.org/drawingml/2006/picture">
                <pic:pic>
                  <pic:nvPicPr>
                    <pic:cNvPr id="0" name="user.png"/>
                    <pic:cNvPicPr/>
                  </pic:nvPicPr>
                  <pic:blipFill>
                    <a:blip r:embed="rId12"/>
                    <a:stretch>
                      <a:fillRect/>
                    </a:stretch>
                  </pic:blipFill>
                  <pic:spPr>
                    <a:xfrm>
                      <a:off x="0" y="0"/>
                      <a:ext cx="5715000" cy="2866430"/>
                    </a:xfrm>
                    <a:prstGeom prst="rect"/>
                  </pic:spPr>
                </pic:pic>
              </a:graphicData>
            </a:graphic>
          </wp:inline>
        </w:drawing>
      </w:r>
    </w:p>
    <w:p>
      <w:pPr>
        <w:spacing w:after="160"/>
        <w:jc w:val="center"/>
      </w:pPr>
      <w:r>
        <w:rPr>
          <w:color w:val="5F6B73"/>
          <w:sz w:val="18"/>
        </w:rPr>
        <w:t>图 2  用户管理界面</w:t>
      </w:r>
    </w:p>
    <w:p>
      <w:pPr>
        <w:pStyle w:val="Heading2"/>
      </w:pPr>
      <w:r>
        <w:t>4.4 Slurm 账户 关联 QOS 与额度</w:t>
      </w:r>
    </w:p>
    <w:p>
      <w:pPr>
        <w:ind w:firstLine="420"/>
      </w:pPr>
      <w:r>
        <w:t>系统提供 Slurm Account、QOS 和 Association 的维护入口。Association 可配置账户、分区、QOS、默认 QOS与 GrpTRESMins。额度拨付支持按 CPU 核时与 GPU 卡时增减，写入后回读验证，且额度不会扣减到已使用量以下。</w:t>
      </w:r>
    </w:p>
    <w:tbl>
      <w:tblPr>
        <w:tblW w:type="auto" w:w="0"/>
        <w:jc w:val="center"/>
        <w:tblLayout w:type="fixed"/>
        <w:tblLook w:firstColumn="1" w:firstRow="1" w:lastColumn="0" w:lastRow="0" w:noHBand="0" w:noVBand="1" w:val="04A0"/>
      </w:tblPr>
      <w:tblGrid>
        <w:gridCol w:w="3341"/>
        <w:gridCol w:w="3341"/>
        <w:gridCol w:w="3341"/>
      </w:tblGrid>
      <w:tr>
        <w:trPr>
          <w:tblHeader w:val="true"/>
        </w:trPr>
        <w:tc>
          <w:tcPr>
            <w:tcW w:type="dxa" w:w="1656"/>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能力</w:t>
            </w:r>
          </w:p>
        </w:tc>
        <w:tc>
          <w:tcPr>
            <w:tcW w:type="dxa" w:w="4104"/>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处理方式</w:t>
            </w:r>
          </w:p>
        </w:tc>
        <w:tc>
          <w:tcPr>
            <w:tcW w:type="dxa" w:w="3456"/>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控制点</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账户维护</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创建、编辑组织与描述、删除</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删除前检查关联与策略依赖</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关联维护</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用户、账户、分区、QOS、默认 QOS</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分区变更建议新建后删除旧关联</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用量报表</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按日、周、月或自定义区间汇总，支持 CSV</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sreport 汇总与 sacct 明细口径区分</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额度拨付</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小时换算为 TRES 分钟后增减并回读</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管理员权限、输入上限、并发锁和审计</w:t>
            </w:r>
          </w:p>
        </w:tc>
      </w:tr>
    </w:tbl>
    <w:p>
      <w:pPr>
        <w:spacing w:after="20"/>
      </w:pPr>
    </w:p>
    <w:p>
      <w:pPr>
        <w:pStyle w:val="Heading2"/>
      </w:pPr>
      <w:r>
        <w:t>4.5 分区与节点管理</w:t>
      </w:r>
    </w:p>
    <w:p>
      <w:pPr>
        <w:pStyle w:val="ListBullet"/>
        <w:spacing w:after="60"/>
        <w:ind w:left="317" w:hanging="216"/>
      </w:pPr>
      <w:r>
        <w:t>展示分区状态、节点数量、已分配、空闲和离线资源及最大运行时间。</w:t>
      </w:r>
    </w:p>
    <w:p>
      <w:pPr>
        <w:pStyle w:val="ListBullet"/>
        <w:spacing w:after="60"/>
        <w:ind w:left="317" w:hanging="216"/>
      </w:pPr>
      <w:r>
        <w:t>维护 node.conf 与 partition.conf，尽量保留注释和未识别字段，变更后执行 Slurm 重载。</w:t>
      </w:r>
    </w:p>
    <w:p>
      <w:pPr>
        <w:pStyle w:val="ListBullet"/>
        <w:spacing w:after="60"/>
        <w:ind w:left="317" w:hanging="216"/>
      </w:pPr>
      <w:r>
        <w:t>支持节点添加、配置编辑、删除、Drain、Resume 和状态变更。</w:t>
      </w:r>
    </w:p>
    <w:p>
      <w:pPr>
        <w:pStyle w:val="ListBullet"/>
        <w:spacing w:after="60"/>
        <w:ind w:left="317" w:hanging="216"/>
      </w:pPr>
      <w:r>
        <w:t>门户配置操作不替代节点操作系统、Munge、网络、DNS、slurmd 和硬件部署。</w:t>
      </w:r>
    </w:p>
    <w:p>
      <w:pPr>
        <w:pStyle w:val="Heading2"/>
      </w:pPr>
      <w:r>
        <w:t>4.6 作业查看与干预</w:t>
      </w:r>
    </w:p>
    <w:p>
      <w:pPr>
        <w:pStyle w:val="ListBullet"/>
        <w:spacing w:after="60"/>
        <w:ind w:left="317" w:hanging="216"/>
      </w:pPr>
      <w:r>
        <w:t>展示运行中、排队中、近期完成和失败作业，并支持分区与状态筛选。</w:t>
      </w:r>
    </w:p>
    <w:p>
      <w:pPr>
        <w:pStyle w:val="ListBullet"/>
        <w:spacing w:after="60"/>
        <w:ind w:left="317" w:hanging="216"/>
      </w:pPr>
      <w:r>
        <w:t>查看 JobID、用户、分区、状态、时长、节点、提交与退出信息。</w:t>
      </w:r>
    </w:p>
    <w:p>
      <w:pPr>
        <w:pStyle w:val="ListBullet"/>
        <w:spacing w:after="60"/>
        <w:ind w:left="317" w:hanging="216"/>
      </w:pPr>
      <w:r>
        <w:t>管理员可取消任意作业；普通用户只能取消自己的作业。</w:t>
      </w:r>
    </w:p>
    <w:p>
      <w:pPr>
        <w:pStyle w:val="ListBullet"/>
        <w:spacing w:after="60"/>
        <w:ind w:left="317" w:hanging="216"/>
      </w:pPr>
      <w:r>
        <w:t>管理员可读取任意作业输出；普通用户只能读取自己的作业且文件必须位于允许目录。</w:t>
      </w:r>
    </w:p>
    <w:p>
      <w:pPr>
        <w:pStyle w:val="ListBullet"/>
        <w:spacing w:after="60"/>
        <w:ind w:left="317" w:hanging="216"/>
      </w:pPr>
      <w:r>
        <w:t>提供 CPU、内存、磁盘 I O、GPU 利用率与显存的作业监控视图，浏览器端临时保留采样。</w:t>
      </w:r>
    </w:p>
    <w:p>
      <w:pPr>
        <w:keepNext/>
        <w:jc w:val="center"/>
      </w:pPr>
      <w:r>
        <w:drawing>
          <wp:inline xmlns:a="http://schemas.openxmlformats.org/drawingml/2006/main" xmlns:pic="http://schemas.openxmlformats.org/drawingml/2006/picture">
            <wp:extent cx="5715000" cy="2889000"/>
            <wp:docPr id="3" name="Picture 3"/>
            <wp:cNvGraphicFramePr>
              <a:graphicFrameLocks noChangeAspect="1"/>
            </wp:cNvGraphicFramePr>
            <a:graphic>
              <a:graphicData uri="http://schemas.openxmlformats.org/drawingml/2006/picture">
                <pic:pic>
                  <pic:nvPicPr>
                    <pic:cNvPr id="0" name="job.png"/>
                    <pic:cNvPicPr/>
                  </pic:nvPicPr>
                  <pic:blipFill>
                    <a:blip r:embed="rId13"/>
                    <a:stretch>
                      <a:fillRect/>
                    </a:stretch>
                  </pic:blipFill>
                  <pic:spPr>
                    <a:xfrm>
                      <a:off x="0" y="0"/>
                      <a:ext cx="5715000" cy="2889000"/>
                    </a:xfrm>
                    <a:prstGeom prst="rect"/>
                  </pic:spPr>
                </pic:pic>
              </a:graphicData>
            </a:graphic>
          </wp:inline>
        </w:drawing>
      </w:r>
    </w:p>
    <w:p>
      <w:pPr>
        <w:spacing w:after="160"/>
        <w:jc w:val="center"/>
      </w:pPr>
      <w:r>
        <w:rPr>
          <w:color w:val="5F6B73"/>
          <w:sz w:val="18"/>
        </w:rPr>
        <w:t>图 3  作业管理与详情界面</w:t>
      </w:r>
    </w:p>
    <w:p>
      <w:pPr>
        <w:pStyle w:val="Heading2"/>
      </w:pPr>
      <w:r>
        <w:t>4.7 文件管理</w:t>
      </w:r>
    </w:p>
    <w:p>
      <w:pPr>
        <w:ind w:firstLine="420"/>
      </w:pPr>
      <w:r>
        <w:t>文件管理支持目录分页、隐藏项切换、文本编辑、上传下载、新建目录、重命名和递归删除。普通用户的页面根目录映射到其 LDAP Home，并对路径穿越与符号链接越界进行校验；管理员可在底层 Linux 权限允许的范围内访问系统路径。上传和在线编辑大小可配置。</w:t>
      </w:r>
    </w:p>
    <w:p>
      <w:r>
        <w:br w:type="page"/>
      </w:r>
    </w:p>
    <w:p>
      <w:pPr>
        <w:pStyle w:val="Heading2"/>
      </w:pPr>
      <w:r>
        <w:t>4.8 Web 终端与终端 AI</w:t>
      </w:r>
    </w:p>
    <w:p>
      <w:pPr>
        <w:ind w:firstLine="420"/>
      </w:pPr>
      <w:r>
        <w:t>Web 终端通过 xterm.js、WebSocket 和 PTY 提供交互式 Shell。系统校验登录会话、请求来源、Linux 同名账户、唯一 UID、Home 与登录 Shell，并在创建 Shell 前降低 UID 与 GID。应用敏感环境变量不传入终端。</w:t>
      </w:r>
    </w:p>
    <w:p>
      <w:pPr>
        <w:ind w:firstLine="420"/>
      </w:pPr>
      <w:r>
        <w:t>终端 AI 可对接 DeepSeek、vLLM、SGLang 或其他 OpenAI 兼容接口。默认每个建议动作由用户确认；自动批准仅在当前连接内有效，高风险命令仍要求人工确认。生产环境建议优先连接内网模型，并在完成模型数据流、命令权限、CSP 与终端设备安全评审后启用。</w:t>
      </w:r>
    </w:p>
    <w:tbl>
      <w:tblPr>
        <w:tblW w:type="auto" w:w="0"/>
        <w:jc w:val="center"/>
        <w:tblLayout w:type="fixed"/>
        <w:tblLook w:firstColumn="1" w:firstRow="1" w:lastColumn="0" w:lastRow="0" w:noHBand="0" w:noVBand="1" w:val="04A0"/>
      </w:tblPr>
      <w:tblGrid>
        <w:gridCol w:w="3341"/>
        <w:gridCol w:w="3341"/>
        <w:gridCol w:w="3341"/>
      </w:tblGrid>
      <w:tr>
        <w:trPr>
          <w:tblHeader w:val="true"/>
        </w:trPr>
        <w:tc>
          <w:tcPr>
            <w:tcW w:type="dxa" w:w="2088"/>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选项</w:t>
            </w:r>
          </w:p>
        </w:tc>
        <w:tc>
          <w:tcPr>
            <w:tcW w:type="dxa" w:w="1800"/>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建议基线</w:t>
            </w:r>
          </w:p>
        </w:tc>
        <w:tc>
          <w:tcPr>
            <w:tcW w:type="dxa" w:w="5328"/>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说明</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Web 终端</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按需启用</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仅在服务节点具备合适的 Linux 身份切换权限时启用</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终端 AI</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默认关闭</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完成数据合规和命令执行风险评审后分批开放</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用户 API Key 持久化</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默认不持久化</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启用时仅提供浏览器静态存储加密，不抵御 XSS 或受控终端</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自动批准</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默认关闭</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仅在用户理解风险且权限最小化时临时开启</w:t>
            </w:r>
          </w:p>
        </w:tc>
      </w:tr>
    </w:tbl>
    <w:p>
      <w:pPr>
        <w:spacing w:after="20"/>
      </w:pPr>
    </w:p>
    <w:p>
      <w:r>
        <w:br w:type="page"/>
      </w:r>
    </w:p>
    <w:p>
      <w:pPr>
        <w:pStyle w:val="Heading1"/>
      </w:pPr>
      <w:r>
        <w:t>5  权限与安全方案</w:t>
      </w:r>
    </w:p>
    <w:p>
      <w:pPr>
        <w:pStyle w:val="Heading2"/>
      </w:pPr>
      <w:r>
        <w:t>5.1 权限模型</w:t>
      </w:r>
    </w:p>
    <w:tbl>
      <w:tblPr>
        <w:tblW w:type="auto" w:w="0"/>
        <w:jc w:val="center"/>
        <w:tblLayout w:type="fixed"/>
        <w:tblLook w:firstColumn="1" w:firstRow="1" w:lastColumn="0" w:lastRow="0" w:noHBand="0" w:noVBand="1" w:val="04A0"/>
      </w:tblPr>
      <w:tblGrid>
        <w:gridCol w:w="3341"/>
        <w:gridCol w:w="3341"/>
        <w:gridCol w:w="3341"/>
      </w:tblGrid>
      <w:tr>
        <w:trPr>
          <w:tblHeader w:val="true"/>
        </w:trPr>
        <w:tc>
          <w:tcPr>
            <w:tcW w:type="dxa" w:w="3528"/>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能力</w:t>
            </w:r>
          </w:p>
        </w:tc>
        <w:tc>
          <w:tcPr>
            <w:tcW w:type="dxa" w:w="2808"/>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管理员</w:t>
            </w:r>
          </w:p>
        </w:tc>
        <w:tc>
          <w:tcPr>
            <w:tcW w:type="dxa" w:w="2880"/>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普通用户</w:t>
            </w:r>
          </w:p>
        </w:tc>
      </w:tr>
      <w:tr>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系统总览与管理页面</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允许</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不允许</w:t>
            </w:r>
          </w:p>
        </w:tc>
      </w:tr>
      <w:tr>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全部活动和近期完成作业</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查看</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查看</w:t>
            </w:r>
          </w:p>
        </w:tc>
      </w:tr>
      <w:tr>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作业详情</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查看</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查看</w:t>
            </w:r>
          </w:p>
        </w:tc>
      </w:tr>
      <w:tr>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作业输出与取消</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任意作业</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仅本人作业</w:t>
            </w:r>
          </w:p>
        </w:tc>
      </w:tr>
      <w:tr>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文件管理</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受 Linux 权限约束的系统范围</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LDAP Home 范围</w:t>
            </w:r>
          </w:p>
        </w:tc>
      </w:tr>
      <w:tr>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Web 终端</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本人 Linux 身份</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本人 Linux 身份</w:t>
            </w:r>
          </w:p>
        </w:tc>
      </w:tr>
      <w:tr>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修改本人 LDAP 密码</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允许</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允许</w:t>
            </w:r>
          </w:p>
        </w:tc>
      </w:tr>
    </w:tbl>
    <w:p>
      <w:pPr>
        <w:spacing w:after="20"/>
      </w:pPr>
    </w:p>
    <w:p>
      <w:pPr>
        <w:pStyle w:val="Heading2"/>
      </w:pPr>
      <w:r>
        <w:t>5.2 身份与会话安全</w:t>
      </w:r>
    </w:p>
    <w:p>
      <w:pPr>
        <w:pStyle w:val="ListBullet"/>
        <w:spacing w:after="60"/>
        <w:ind w:left="317" w:hanging="216"/>
      </w:pPr>
      <w:r>
        <w:t>生产环境强制启用认证，并配置不少于 32 个字符的独立 Session 密钥。</w:t>
      </w:r>
    </w:p>
    <w:p>
      <w:pPr>
        <w:pStyle w:val="ListBullet"/>
        <w:spacing w:after="60"/>
        <w:ind w:left="317" w:hanging="216"/>
      </w:pPr>
      <w:r>
        <w:t>通过 LDAP 用户绑定验证身份；服务不可用与凭据错误分别返回，避免误导运维判断。</w:t>
      </w:r>
    </w:p>
    <w:p>
      <w:pPr>
        <w:pStyle w:val="ListBullet"/>
        <w:spacing w:after="60"/>
        <w:ind w:left="317" w:hanging="216"/>
      </w:pPr>
      <w:r>
        <w:t>默认按用户名统计登录失败；在配置窗口内达到阈值后锁定并返回 Retry After。</w:t>
      </w:r>
    </w:p>
    <w:p>
      <w:pPr>
        <w:pStyle w:val="ListBullet"/>
        <w:spacing w:after="60"/>
        <w:ind w:left="317" w:hanging="216"/>
      </w:pPr>
      <w:r>
        <w:t>HTTPS 部署启用 Secure Cookie，并由 Nginx 正确传递真实协议和来源信息。</w:t>
      </w:r>
    </w:p>
    <w:p>
      <w:pPr>
        <w:pStyle w:val="ListBullet"/>
        <w:spacing w:after="60"/>
        <w:ind w:left="317" w:hanging="216"/>
      </w:pPr>
      <w:r>
        <w:t>管理员清单变化在后续请求中刷新；禁用账户的既有会话会被清除。</w:t>
      </w:r>
    </w:p>
    <w:p>
      <w:pPr>
        <w:pStyle w:val="Heading2"/>
      </w:pPr>
      <w:r>
        <w:t>5.3 文件与作业输出安全</w:t>
      </w:r>
    </w:p>
    <w:p>
      <w:pPr>
        <w:pStyle w:val="ListBullet"/>
        <w:spacing w:after="60"/>
        <w:ind w:left="317" w:hanging="216"/>
      </w:pPr>
      <w:r>
        <w:t>普通用户文件访问以解析后的真实路径校验 Home 边界，拒绝路径穿越与符号链接逃逸。</w:t>
      </w:r>
    </w:p>
    <w:p>
      <w:pPr>
        <w:pStyle w:val="ListBullet"/>
        <w:spacing w:after="60"/>
        <w:ind w:left="317" w:hanging="216"/>
      </w:pPr>
      <w:r>
        <w:t>作业输出读取同时检查作业归属和允许根目录；额外根目录必须显式配置。</w:t>
      </w:r>
    </w:p>
    <w:p>
      <w:pPr>
        <w:pStyle w:val="ListBullet"/>
        <w:spacing w:after="60"/>
        <w:ind w:left="317" w:hanging="216"/>
      </w:pPr>
      <w:r>
        <w:t>用户上传和创建内容按目标 LDAP UID 与 GID 归属，最终访问仍由文件系统权限决定。</w:t>
      </w:r>
    </w:p>
    <w:p>
      <w:pPr>
        <w:pStyle w:val="ListBullet"/>
        <w:spacing w:after="60"/>
        <w:ind w:left="317" w:hanging="216"/>
      </w:pPr>
      <w:r>
        <w:t>递归删除属于高风险操作，应在界面二次确认并纳入备份与恢复制度。</w:t>
      </w:r>
    </w:p>
    <w:p>
      <w:pPr>
        <w:pStyle w:val="Heading2"/>
      </w:pPr>
      <w:r>
        <w:t>5.4 日志与审计</w:t>
      </w:r>
    </w:p>
    <w:p>
      <w:pPr>
        <w:ind w:firstLine="420"/>
      </w:pPr>
      <w:r>
        <w:t>系统将访问日志按单行 JSON 输出，并为请求生成 request_id，同时在响应头返回 X Request ID。所有 POST、PUT、PATCH 和 DELETE 请求记录审计事件，包含操作者、来源 IP、动作、资源、目标、修改前后快照、状态、结果与耗时。</w:t>
      </w:r>
    </w:p>
    <w:p>
      <w:pPr>
        <w:ind w:firstLine="420"/>
      </w:pPr>
      <w:r>
        <w:t>密码、令牌、Cookie、Session、私钥、LDAP 管理凭据与 API Key 等敏感字段在最终输出前统一脱敏。生产环境仍需由日志平台或进程管理器完成持久化、访问控制、轮转、留存和防篡改。</w:t>
      </w:r>
    </w:p>
    <w:p>
      <w:pPr>
        <w:pStyle w:val="Heading2"/>
      </w:pPr>
      <w:r>
        <w:t>5.5 安全加固清单</w:t>
      </w:r>
    </w:p>
    <w:tbl>
      <w:tblPr>
        <w:tblW w:type="auto" w:w="0"/>
        <w:jc w:val="center"/>
        <w:tblLayout w:type="fixed"/>
        <w:tblLook w:firstColumn="1" w:firstRow="1" w:lastColumn="0" w:lastRow="0" w:noHBand="0" w:noVBand="1" w:val="04A0"/>
      </w:tblPr>
      <w:tblGrid>
        <w:gridCol w:w="3341"/>
        <w:gridCol w:w="3341"/>
        <w:gridCol w:w="3341"/>
      </w:tblGrid>
      <w:tr>
        <w:trPr>
          <w:tblHeader w:val="true"/>
        </w:trPr>
        <w:tc>
          <w:tcPr>
            <w:tcW w:type="dxa" w:w="1224"/>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7"/>
              </w:rPr>
              <w:t>领域</w:t>
            </w:r>
          </w:p>
        </w:tc>
        <w:tc>
          <w:tcPr>
            <w:tcW w:type="dxa" w:w="5544"/>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7"/>
              </w:rPr>
              <w:t>上线前控制项</w:t>
            </w:r>
          </w:p>
        </w:tc>
        <w:tc>
          <w:tcPr>
            <w:tcW w:type="dxa" w:w="2448"/>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7"/>
              </w:rPr>
              <w:t>责任建议</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网络</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仅内网开放；Nginx HTTPS；限制应用端口和管理接口来源</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招标人主责  投标人配合</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主机</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专用运行账户；补丁基线；最小 sudo 与 Slurm 权限；文件权限</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双方</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凭据</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.env 权限 0600；强随机密钥；凭据不入库；定期轮换</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招标人</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应用</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开启认证；设置登录阈值；关闭不需要的终端和 AI；设置上传上限</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投标人实施</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审计</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集中采集、查询权限、留存期限、防篡改和告警规则</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招标人主责</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备份</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备份 .env、Slurm 配置和部署版本；执行恢复演练</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双方</w:t>
            </w:r>
          </w:p>
        </w:tc>
      </w:tr>
    </w:tbl>
    <w:p>
      <w:pPr>
        <w:spacing w:after="20"/>
      </w:pPr>
    </w:p>
    <w:p>
      <w:r>
        <w:br w:type="page"/>
      </w:r>
    </w:p>
    <w:p>
      <w:pPr>
        <w:pStyle w:val="Heading1"/>
      </w:pPr>
      <w:r>
        <w:t>6  实施与交付方案</w:t>
      </w:r>
    </w:p>
    <w:p>
      <w:pPr>
        <w:pStyle w:val="Heading2"/>
      </w:pPr>
      <w:r>
        <w:t>6.1 实施范围</w:t>
      </w:r>
    </w:p>
    <w:p>
      <w:pPr>
        <w:ind w:firstLine="420"/>
      </w:pPr>
      <w:r>
        <w:t>建议基础交付范围包括现场调研、环境检查、软件安装、LDAP 与 Slurm 参数适配、Nginx 与进程托管配置、权限与安全基线设置、功能与接口测试、试运行、培训、文档和验收支持。</w:t>
      </w:r>
    </w:p>
    <w:p>
      <w:pPr>
        <w:pStyle w:val="Heading2"/>
      </w:pPr>
      <w:r>
        <w:t>6.2 实施阶段</w:t>
      </w:r>
    </w:p>
    <w:tbl>
      <w:tblPr>
        <w:tblW w:type="auto" w:w="0"/>
        <w:jc w:val="center"/>
        <w:tblLayout w:type="fixed"/>
        <w:tblLook w:firstColumn="1" w:firstRow="1" w:lastColumn="0" w:lastRow="0" w:noHBand="0" w:noVBand="1" w:val="04A0"/>
      </w:tblPr>
      <w:tblGrid>
        <w:gridCol w:w="2505"/>
        <w:gridCol w:w="2505"/>
        <w:gridCol w:w="2505"/>
        <w:gridCol w:w="2505"/>
      </w:tblGrid>
      <w:tr>
        <w:trPr>
          <w:tblHeader w:val="true"/>
        </w:trPr>
        <w:tc>
          <w:tcPr>
            <w:tcW w:type="dxa" w:w="1584"/>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7"/>
              </w:rPr>
              <w:t>阶段</w:t>
            </w:r>
          </w:p>
        </w:tc>
        <w:tc>
          <w:tcPr>
            <w:tcW w:type="dxa" w:w="3960"/>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7"/>
              </w:rPr>
              <w:t>主要工作</w:t>
            </w:r>
          </w:p>
        </w:tc>
        <w:tc>
          <w:tcPr>
            <w:tcW w:type="dxa" w:w="2304"/>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7"/>
              </w:rPr>
              <w:t>输出物</w:t>
            </w:r>
          </w:p>
        </w:tc>
        <w:tc>
          <w:tcPr>
            <w:tcW w:type="dxa" w:w="1368"/>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7"/>
              </w:rPr>
              <w:t>建议工期</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1  启动与调研</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确认组织、网络、LDAP、Slurm、存储、权限和验收边界</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调研记录  范围基线</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2 至 3 工作日</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2  环境与方案确认</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检查依赖、端口、证书、运行账户、命令权限和备份路径</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实施方案  安全清单</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2 至 3 工作日</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3  安装与适配</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部署应用、配置接入、静态资源、反向代理和日志</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可运行系统  配置清单</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3 至 5 工作日</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4  联调与测试</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LDAP、Slurm、文件、终端、权限、异常和回滚测试</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测试记录  问题清单</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3 至 5 工作日</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5  试运行与培训</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真实业务验证、培训管理员与用户、修正配置</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培训材料  试运行报告</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5 至 10 工作日</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6  验收与移交</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按用例验收、移交软件包、文档、配置模板和备份</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验收报告  移交清单</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2 至 3 工作日</w:t>
            </w:r>
          </w:p>
        </w:tc>
      </w:tr>
    </w:tbl>
    <w:p>
      <w:pPr>
        <w:spacing w:after="20"/>
      </w:pPr>
    </w:p>
    <w:p>
      <w:pPr>
        <w:ind w:firstLine="420"/>
      </w:pPr>
      <w:r>
        <w:rPr>
          <w:b/>
        </w:rPr>
        <w:t>以上工期为基础规模建议</w:t>
      </w:r>
      <w:r>
        <w:t>，不构成未经确认的合同承诺。节点数量、定制项、现场准入、LDAP 目录差异、Slurm 版本和变更窗口会影响实际计划。</w:t>
      </w:r>
    </w:p>
    <w:p>
      <w:pPr>
        <w:pStyle w:val="Heading2"/>
      </w:pPr>
      <w:r>
        <w:t>6.3 实施方法</w:t>
      </w:r>
    </w:p>
    <w:p>
      <w:pPr>
        <w:pStyle w:val="ListNumber"/>
        <w:spacing w:after="80"/>
        <w:ind w:left="403" w:hanging="259"/>
      </w:pPr>
      <w:r>
        <w:t>建立项目通讯录、决策机制、问题台账和变更审批流程。</w:t>
      </w:r>
    </w:p>
    <w:p>
      <w:pPr>
        <w:pStyle w:val="ListNumber"/>
        <w:spacing w:after="80"/>
        <w:ind w:left="403" w:hanging="259"/>
      </w:pPr>
      <w:r>
        <w:t>在非生产环境或维护窗口完成首次部署，不直接修改未备份的 Slurm 配置。</w:t>
      </w:r>
    </w:p>
    <w:p>
      <w:pPr>
        <w:pStyle w:val="ListNumber"/>
        <w:spacing w:after="80"/>
        <w:ind w:left="403" w:hanging="259"/>
      </w:pPr>
      <w:r>
        <w:t>先验证只读查询，再逐步开放身份、账户、分区、节点和文件写操作。</w:t>
      </w:r>
    </w:p>
    <w:p>
      <w:pPr>
        <w:pStyle w:val="ListNumber"/>
        <w:spacing w:after="80"/>
        <w:ind w:left="403" w:hanging="259"/>
      </w:pPr>
      <w:r>
        <w:t>以普通用户和管理员双角色执行端到端用例，重点验证越权与异常分支。</w:t>
      </w:r>
    </w:p>
    <w:p>
      <w:pPr>
        <w:pStyle w:val="ListNumber"/>
        <w:spacing w:after="80"/>
        <w:ind w:left="403" w:hanging="259"/>
      </w:pPr>
      <w:r>
        <w:t>试运行期间冻结范围，问题按严重度分级，达到准入标准后申请验收。</w:t>
      </w:r>
    </w:p>
    <w:p>
      <w:pPr>
        <w:pStyle w:val="Heading2"/>
      </w:pPr>
      <w:r>
        <w:t>6.4 交付物</w:t>
      </w:r>
    </w:p>
    <w:tbl>
      <w:tblPr>
        <w:tblW w:type="auto" w:w="0"/>
        <w:jc w:val="center"/>
        <w:tblLayout w:type="fixed"/>
        <w:tblLook w:firstColumn="1" w:firstRow="1" w:lastColumn="0" w:lastRow="0" w:noHBand="0" w:noVBand="1" w:val="04A0"/>
      </w:tblPr>
      <w:tblGrid>
        <w:gridCol w:w="3341"/>
        <w:gridCol w:w="3341"/>
        <w:gridCol w:w="3341"/>
      </w:tblGrid>
      <w:tr>
        <w:trPr>
          <w:tblHeader w:val="true"/>
        </w:trPr>
        <w:tc>
          <w:tcPr>
            <w:tcW w:type="dxa" w:w="1440"/>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类别</w:t>
            </w:r>
          </w:p>
        </w:tc>
        <w:tc>
          <w:tcPr>
            <w:tcW w:type="dxa" w:w="5688"/>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交付内容</w:t>
            </w:r>
          </w:p>
        </w:tc>
        <w:tc>
          <w:tcPr>
            <w:tcW w:type="dxa" w:w="2088"/>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形式</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软件</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OpenHPC WebUI 约定版本、离线依赖或安装包、静态资源</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电子介质或内网制品库</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配置</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env 配置模板、Nginx 和进程托管示例、站点适配记录</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电子文档</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文档</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部署指南、技术指南、用户手册、安全与备份清单</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Word 或 PDF 及源文件</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测试</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测试用例、执行记录、问题闭环、验收记录</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电子文档</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培训</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培训讲义、签到或记录、操作演示材料</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电子文档</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移交</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版本号、校验值、管理员清单、已知限制与后续建议</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移交清单</w:t>
            </w:r>
          </w:p>
        </w:tc>
      </w:tr>
    </w:tbl>
    <w:p>
      <w:pPr>
        <w:spacing w:after="20"/>
      </w:pPr>
    </w:p>
    <w:p>
      <w:pPr>
        <w:pStyle w:val="Heading2"/>
      </w:pPr>
      <w:r>
        <w:t>6.5 变更与回滚</w:t>
      </w:r>
    </w:p>
    <w:p>
      <w:pPr>
        <w:ind w:firstLine="420"/>
      </w:pPr>
      <w:r>
        <w:t>应用升级前备份 .env 与 Slurm 配置，记录当前 Git 提交或软件包版本，使用锁定依赖完成安装并运行自动化测试。升级失败时切回已确认版本、同步匹配的依赖锁文件并恢复配置。任何涉及分区、节点、账户或配额的变更均应在维护窗口实施并保留操作记录。</w:t>
      </w:r>
    </w:p>
    <w:p>
      <w:r>
        <w:br w:type="page"/>
      </w:r>
    </w:p>
    <w:p>
      <w:pPr>
        <w:pStyle w:val="Heading1"/>
      </w:pPr>
      <w:r>
        <w:t>7  质量保证与测试方案</w:t>
      </w:r>
    </w:p>
    <w:p>
      <w:pPr>
        <w:pStyle w:val="Heading2"/>
      </w:pPr>
      <w:r>
        <w:t>7.1 当前验证基线</w:t>
      </w:r>
    </w:p>
    <w:p>
      <w:pPr>
        <w:ind w:firstLine="420"/>
      </w:pPr>
      <w:r>
        <w:t>截至本文件编制日，项目自动化测试共 206 项，覆盖应用工厂、认证与登录限流、审计、LDAP 显示名、Slurm 作业、报表、关联、QOS、额度、文件、NFS quota、Web 终端、终端 AI、静态资源和版本脚本。实际执行结果为全部通过；Python 包语法编译检查同时通过。</w:t>
      </w:r>
    </w:p>
    <w:tbl>
      <w:tblPr>
        <w:tblW w:type="auto" w:w="0"/>
        <w:jc w:val="center"/>
        <w:tblLayout w:type="fixed"/>
        <w:tblLook w:firstColumn="1" w:firstRow="1" w:lastColumn="0" w:lastRow="0" w:noHBand="0" w:noVBand="1" w:val="04A0"/>
      </w:tblPr>
      <w:tblGrid>
        <w:gridCol w:w="3341"/>
        <w:gridCol w:w="3341"/>
        <w:gridCol w:w="3341"/>
      </w:tblGrid>
      <w:tr>
        <w:trPr>
          <w:tblHeader w:val="true"/>
        </w:trPr>
        <w:tc>
          <w:tcPr>
            <w:tcW w:type="dxa" w:w="1944"/>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检查项</w:t>
            </w:r>
          </w:p>
        </w:tc>
        <w:tc>
          <w:tcPr>
            <w:tcW w:type="dxa" w:w="5112"/>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执行命令</w:t>
            </w:r>
          </w:p>
        </w:tc>
        <w:tc>
          <w:tcPr>
            <w:tcW w:type="dxa" w:w="2160"/>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本次结果</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自动化测试</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uv run python -m unittest discover -s tests</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206 项通过</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Python 语法</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uv run python -m compileall -q openhpc_webui</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通过</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前端离线资源</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测试检查与目录核查</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资源本地提供</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生产联调</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需连接招标人 LDAP  Slurm  NFS 环境</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待现场执行</w:t>
            </w:r>
          </w:p>
        </w:tc>
      </w:tr>
    </w:tbl>
    <w:p>
      <w:pPr>
        <w:spacing w:after="20"/>
      </w:pPr>
    </w:p>
    <w:p>
      <w:pPr>
        <w:pStyle w:val="Heading2"/>
      </w:pPr>
      <w:r>
        <w:t>7.2 测试策略</w:t>
      </w:r>
    </w:p>
    <w:tbl>
      <w:tblPr>
        <w:tblW w:type="auto" w:w="0"/>
        <w:jc w:val="center"/>
        <w:tblLayout w:type="fixed"/>
        <w:tblLook w:firstColumn="1" w:firstRow="1" w:lastColumn="0" w:lastRow="0" w:noHBand="0" w:noVBand="1" w:val="04A0"/>
      </w:tblPr>
      <w:tblGrid>
        <w:gridCol w:w="3341"/>
        <w:gridCol w:w="3341"/>
        <w:gridCol w:w="3341"/>
      </w:tblGrid>
      <w:tr>
        <w:trPr>
          <w:tblHeader w:val="true"/>
        </w:trPr>
        <w:tc>
          <w:tcPr>
            <w:tcW w:type="dxa" w:w="1728"/>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7"/>
              </w:rPr>
              <w:t>测试类型</w:t>
            </w:r>
          </w:p>
        </w:tc>
        <w:tc>
          <w:tcPr>
            <w:tcW w:type="dxa" w:w="4968"/>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7"/>
              </w:rPr>
              <w:t>范围</w:t>
            </w:r>
          </w:p>
        </w:tc>
        <w:tc>
          <w:tcPr>
            <w:tcW w:type="dxa" w:w="2520"/>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7"/>
              </w:rPr>
              <w:t>准出要求</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单元测试</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服务解析、输入校验、权限边界、配置处理和异常分支</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约定用例全部通过</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集成测试</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LDAP、Slurm CLI、SlurmDBD、NFS quota、Nginx 与 WebSocket</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关键链路无阻断缺陷</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功能测试</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管理员和普通用户的页面及 API 流程</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需求响应项可复现</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安全测试</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认证、越权、路径逃逸、敏感日志、Cookie、来源校验</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高危问题清零</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兼容测试</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招标方指定浏览器与分辨率</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关键页面可用且无严重布局问题</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恢复测试</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配置备份、版本回退、进程重启与会话恢复边界</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回滚步骤可执行</w:t>
            </w:r>
          </w:p>
        </w:tc>
      </w:tr>
    </w:tbl>
    <w:p>
      <w:pPr>
        <w:spacing w:after="20"/>
      </w:pPr>
    </w:p>
    <w:p>
      <w:pPr>
        <w:pStyle w:val="Heading2"/>
      </w:pPr>
      <w:r>
        <w:t>7.3 缺陷分级与关闭</w:t>
      </w:r>
    </w:p>
    <w:tbl>
      <w:tblPr>
        <w:tblW w:type="auto" w:w="0"/>
        <w:jc w:val="center"/>
        <w:tblLayout w:type="fixed"/>
        <w:tblLook w:firstColumn="1" w:firstRow="1" w:lastColumn="0" w:lastRow="0" w:noHBand="0" w:noVBand="1" w:val="04A0"/>
      </w:tblPr>
      <w:tblGrid>
        <w:gridCol w:w="3341"/>
        <w:gridCol w:w="3341"/>
        <w:gridCol w:w="3341"/>
      </w:tblGrid>
      <w:tr>
        <w:trPr>
          <w:tblHeader w:val="true"/>
        </w:trPr>
        <w:tc>
          <w:tcPr>
            <w:tcW w:type="dxa" w:w="1152"/>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等级</w:t>
            </w:r>
          </w:p>
        </w:tc>
        <w:tc>
          <w:tcPr>
            <w:tcW w:type="dxa" w:w="6048"/>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定义</w:t>
            </w:r>
          </w:p>
        </w:tc>
        <w:tc>
          <w:tcPr>
            <w:tcW w:type="dxa" w:w="2016"/>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验收前要求</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严重</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系统不可用、数据破坏、权限绕过或重大安全风险</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必须关闭</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高</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核心流程无法完成且无可接受规避方案</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必须关闭</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中</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局部功能异常但存在规避方案</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双方确认关闭计划</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低</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不影响业务结果的显示、文案或易用性问题</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纳入后续版本计划</w:t>
            </w:r>
          </w:p>
        </w:tc>
      </w:tr>
    </w:tbl>
    <w:p>
      <w:pPr>
        <w:spacing w:after="20"/>
      </w:pPr>
    </w:p>
    <w:p>
      <w:pPr>
        <w:pStyle w:val="Heading2"/>
      </w:pPr>
      <w:r>
        <w:t>7.4 重点测试场景</w:t>
      </w:r>
    </w:p>
    <w:p>
      <w:pPr>
        <w:pStyle w:val="ListBullet"/>
        <w:spacing w:after="60"/>
        <w:ind w:left="317" w:hanging="216"/>
      </w:pPr>
      <w:r>
        <w:t>LDAP 不可用、密码错误、账户禁用和连续失败锁定的区分处理。</w:t>
      </w:r>
    </w:p>
    <w:p>
      <w:pPr>
        <w:pStyle w:val="ListBullet"/>
        <w:spacing w:after="60"/>
        <w:ind w:left="317" w:hanging="216"/>
      </w:pPr>
      <w:r>
        <w:t>普通用户访问管理员页面、读取他人作业输出、取消他人作业和越界文件路径时必须拒绝。</w:t>
      </w:r>
    </w:p>
    <w:p>
      <w:pPr>
        <w:pStyle w:val="ListBullet"/>
        <w:spacing w:after="60"/>
        <w:ind w:left="317" w:hanging="216"/>
      </w:pPr>
      <w:r>
        <w:t>修改 Slurm 配置时保留注释和未知字段，失败时提供可诊断错误并可恢复。</w:t>
      </w:r>
    </w:p>
    <w:p>
      <w:pPr>
        <w:pStyle w:val="ListBullet"/>
        <w:spacing w:after="60"/>
        <w:ind w:left="317" w:hanging="216"/>
      </w:pPr>
      <w:r>
        <w:t>额度增减的分钟换算、已用量下限、写入回读、评论长度和并发保护。</w:t>
      </w:r>
    </w:p>
    <w:p>
      <w:pPr>
        <w:pStyle w:val="ListBullet"/>
        <w:spacing w:after="60"/>
        <w:ind w:left="317" w:hanging="216"/>
      </w:pPr>
      <w:r>
        <w:t>WebSocket 跨站来源、重复 UID、无 Home、禁用 Shell、断线与空闲超时。</w:t>
      </w:r>
    </w:p>
    <w:p>
      <w:pPr>
        <w:pStyle w:val="ListBullet"/>
        <w:spacing w:after="60"/>
        <w:ind w:left="317" w:hanging="216"/>
      </w:pPr>
      <w:r>
        <w:t>Nginx 代理下 HTTPS、Secure Cookie、X Forwarded Proto 与 WebSocket Upgrade。</w:t>
      </w:r>
    </w:p>
    <w:p>
      <w:r>
        <w:br w:type="page"/>
      </w:r>
    </w:p>
    <w:p>
      <w:pPr>
        <w:pStyle w:val="Heading1"/>
      </w:pPr>
      <w:r>
        <w:t>8  培训 运维与服务方案</w:t>
      </w:r>
    </w:p>
    <w:p>
      <w:pPr>
        <w:pStyle w:val="Heading2"/>
      </w:pPr>
      <w:r>
        <w:t>8.1 培训方案</w:t>
      </w:r>
    </w:p>
    <w:tbl>
      <w:tblPr>
        <w:tblW w:type="auto" w:w="0"/>
        <w:jc w:val="center"/>
        <w:tblLayout w:type="fixed"/>
        <w:tblLook w:firstColumn="1" w:firstRow="1" w:lastColumn="0" w:lastRow="0" w:noHBand="0" w:noVBand="1" w:val="04A0"/>
      </w:tblPr>
      <w:tblGrid>
        <w:gridCol w:w="2505"/>
        <w:gridCol w:w="2505"/>
        <w:gridCol w:w="2505"/>
        <w:gridCol w:w="2505"/>
      </w:tblGrid>
      <w:tr>
        <w:trPr>
          <w:tblHeader w:val="true"/>
        </w:trPr>
        <w:tc>
          <w:tcPr>
            <w:tcW w:type="dxa" w:w="1800"/>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7"/>
              </w:rPr>
              <w:t>对象</w:t>
            </w:r>
          </w:p>
        </w:tc>
        <w:tc>
          <w:tcPr>
            <w:tcW w:type="dxa" w:w="4968"/>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7"/>
              </w:rPr>
              <w:t>培训内容</w:t>
            </w:r>
          </w:p>
        </w:tc>
        <w:tc>
          <w:tcPr>
            <w:tcW w:type="dxa" w:w="1296"/>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7"/>
              </w:rPr>
              <w:t>建议时长</w:t>
            </w:r>
          </w:p>
        </w:tc>
        <w:tc>
          <w:tcPr>
            <w:tcW w:type="dxa" w:w="1152"/>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7"/>
              </w:rPr>
              <w:t>成果</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系统管理员</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部署、配置、安全、日志、备份、升级、回滚和故障排查</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半天</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能独立维护服务</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集群管理员</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LDAP、账户、QOS、Association、分区、节点、额度与作业操作</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半天</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能完成日常管理</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普通用户</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登录、作业、输出、文件、账户和终端使用边界</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1 至 2 小时</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能完成常用操作</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开发维护人员</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项目结构、服务层、测试、打包和二次开发规范</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半天</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能进行受控变更</w:t>
            </w:r>
          </w:p>
        </w:tc>
      </w:tr>
    </w:tbl>
    <w:p>
      <w:pPr>
        <w:spacing w:after="20"/>
      </w:pPr>
    </w:p>
    <w:p>
      <w:pPr>
        <w:pStyle w:val="Heading2"/>
      </w:pPr>
      <w:r>
        <w:t>8.2 运维内容</w:t>
      </w:r>
    </w:p>
    <w:p>
      <w:pPr>
        <w:pStyle w:val="ListBullet"/>
        <w:spacing w:after="60"/>
        <w:ind w:left="317" w:hanging="216"/>
      </w:pPr>
      <w:r>
        <w:t>每日检查服务状态、关键接口和错误日志；按需检查 LDAP 与 Slurm 连通性。</w:t>
      </w:r>
    </w:p>
    <w:p>
      <w:pPr>
        <w:pStyle w:val="ListBullet"/>
        <w:spacing w:after="60"/>
        <w:ind w:left="317" w:hanging="216"/>
      </w:pPr>
      <w:r>
        <w:t>定期审计管理员列表、终端功能开关、命令权限、上传限制和额外输出目录。</w:t>
      </w:r>
    </w:p>
    <w:p>
      <w:pPr>
        <w:pStyle w:val="ListBullet"/>
        <w:spacing w:after="60"/>
        <w:ind w:left="317" w:hanging="216"/>
      </w:pPr>
      <w:r>
        <w:t>执行日志轮转、访问权限、留存和容量监控，确保审计记录可查询。</w:t>
      </w:r>
    </w:p>
    <w:p>
      <w:pPr>
        <w:pStyle w:val="ListBullet"/>
        <w:spacing w:after="60"/>
        <w:ind w:left="317" w:hanging="216"/>
      </w:pPr>
      <w:r>
        <w:t>升级前备份配置与版本，执行自动化测试和关键业务回归，保留回滚窗口。</w:t>
      </w:r>
    </w:p>
    <w:p>
      <w:pPr>
        <w:pStyle w:val="ListBullet"/>
        <w:spacing w:after="60"/>
        <w:ind w:left="317" w:hanging="216"/>
      </w:pPr>
      <w:r>
        <w:t>对 LDAP 架构、Slurm 配置、共享存储或代理架构变化开展影响评估。</w:t>
      </w:r>
    </w:p>
    <w:p>
      <w:r>
        <w:br w:type="page"/>
      </w:r>
    </w:p>
    <w:p>
      <w:pPr>
        <w:pStyle w:val="Heading2"/>
      </w:pPr>
      <w:r>
        <w:t>8.3 服务级别建议</w:t>
      </w:r>
    </w:p>
    <w:p>
      <w:pPr>
        <w:ind w:firstLine="420"/>
      </w:pPr>
      <w:r>
        <w:t>以下为合同谈判建议值，不代表未经确认的服务承诺。服务时间、响应渠道、驻场要求、备件或第三方配合责任应以招标文件和合同为准。</w:t>
      </w:r>
    </w:p>
    <w:tbl>
      <w:tblPr>
        <w:tblW w:type="auto" w:w="0"/>
        <w:jc w:val="center"/>
        <w:tblLayout w:type="fixed"/>
        <w:tblLook w:firstColumn="1" w:firstRow="1" w:lastColumn="0" w:lastRow="0" w:noHBand="0" w:noVBand="1" w:val="04A0"/>
      </w:tblPr>
      <w:tblGrid>
        <w:gridCol w:w="2505"/>
        <w:gridCol w:w="2505"/>
        <w:gridCol w:w="2505"/>
        <w:gridCol w:w="2505"/>
      </w:tblGrid>
      <w:tr>
        <w:trPr>
          <w:tblHeader w:val="true"/>
        </w:trPr>
        <w:tc>
          <w:tcPr>
            <w:tcW w:type="dxa" w:w="936"/>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7"/>
              </w:rPr>
              <w:t>事件级别</w:t>
            </w:r>
          </w:p>
        </w:tc>
        <w:tc>
          <w:tcPr>
            <w:tcW w:type="dxa" w:w="4248"/>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7"/>
              </w:rPr>
              <w:t>示例</w:t>
            </w:r>
          </w:p>
        </w:tc>
        <w:tc>
          <w:tcPr>
            <w:tcW w:type="dxa" w:w="1656"/>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7"/>
              </w:rPr>
              <w:t>建议响应</w:t>
            </w:r>
          </w:p>
        </w:tc>
        <w:tc>
          <w:tcPr>
            <w:tcW w:type="dxa" w:w="2376"/>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7"/>
              </w:rPr>
              <w:t>建议处置目标</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P1</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生产门户整体不可用或出现重大安全事件</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30 分钟</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2 小时给出绕行或恢复方案</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P2</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核心管理流程不可用，部分用户受影响</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2 小时</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1 个工作日内恢复或给出补丁</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P3</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非核心功能异常或存在可行规避方案</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7"/>
              </w:rPr>
              <w:t>4 工作小时</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7"/>
              </w:rPr>
              <w:t>3 个工作日内处理</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P4</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咨询、优化建议和文案问题</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7"/>
              </w:rPr>
              <w:t>1 个工作日</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7"/>
              </w:rPr>
              <w:t>纳入计划版本</w:t>
            </w:r>
          </w:p>
        </w:tc>
      </w:tr>
    </w:tbl>
    <w:p>
      <w:pPr>
        <w:spacing w:after="20"/>
      </w:pPr>
    </w:p>
    <w:p>
      <w:pPr>
        <w:pStyle w:val="Heading2"/>
      </w:pPr>
      <w:r>
        <w:t>8.4 服务边界</w:t>
      </w:r>
    </w:p>
    <w:p>
      <w:pPr>
        <w:ind w:firstLine="420"/>
      </w:pPr>
      <w:r>
        <w:t>门户是集群管理辅助工具，不替代 Slurm、LDAP、监控、备份、堡垒机或安全审计系统。因第三方产品缺陷、基础设施故障、招标人未授权的配置变化、底层权限不足或超出约定容量导致的问题，应由双方依据责任边界协同处理。</w:t>
      </w:r>
    </w:p>
    <w:p>
      <w:r>
        <w:br w:type="page"/>
      </w:r>
    </w:p>
    <w:p>
      <w:pPr>
        <w:pStyle w:val="Heading1"/>
      </w:pPr>
      <w:r>
        <w:t>9  验收方案</w:t>
      </w:r>
    </w:p>
    <w:p>
      <w:pPr>
        <w:pStyle w:val="Heading2"/>
      </w:pPr>
      <w:r>
        <w:t>9.1 验收前提</w:t>
      </w:r>
    </w:p>
    <w:p>
      <w:pPr>
        <w:pStyle w:val="ListBullet"/>
        <w:spacing w:after="60"/>
        <w:ind w:left="317" w:hanging="216"/>
      </w:pPr>
      <w:r>
        <w:t>招标人提供可用的测试 LDAP、Slurm、SlurmDBD、共享存储和必要网络权限。</w:t>
      </w:r>
    </w:p>
    <w:p>
      <w:pPr>
        <w:pStyle w:val="ListBullet"/>
        <w:spacing w:after="60"/>
        <w:ind w:left="317" w:hanging="216"/>
      </w:pPr>
      <w:r>
        <w:t>双方确认功能范围、角色、样例账户、测试数据、浏览器、节点规模与安全基线。</w:t>
      </w:r>
    </w:p>
    <w:p>
      <w:pPr>
        <w:pStyle w:val="ListBullet"/>
        <w:spacing w:after="60"/>
        <w:ind w:left="317" w:hanging="216"/>
      </w:pPr>
      <w:r>
        <w:t>生产变更具备审批窗口，关键配置已备份并验证恢复方式。</w:t>
      </w:r>
    </w:p>
    <w:p>
      <w:pPr>
        <w:pStyle w:val="ListBullet"/>
        <w:spacing w:after="60"/>
        <w:ind w:left="317" w:hanging="216"/>
      </w:pPr>
      <w:r>
        <w:t>影响验收的第三方故障和新增需求不计入原验收缺陷。</w:t>
      </w:r>
    </w:p>
    <w:p>
      <w:pPr>
        <w:pStyle w:val="Heading2"/>
      </w:pPr>
      <w:r>
        <w:t>9.2 建议验收用例</w:t>
      </w:r>
    </w:p>
    <w:tbl>
      <w:tblPr>
        <w:tblW w:type="auto" w:w="0"/>
        <w:jc w:val="center"/>
        <w:tblLayout w:type="fixed"/>
        <w:tblLook w:firstColumn="1" w:firstRow="1" w:lastColumn="0" w:lastRow="0" w:noHBand="0" w:noVBand="1" w:val="04A0"/>
      </w:tblPr>
      <w:tblGrid>
        <w:gridCol w:w="2505"/>
        <w:gridCol w:w="2505"/>
        <w:gridCol w:w="2505"/>
        <w:gridCol w:w="2505"/>
      </w:tblGrid>
      <w:tr>
        <w:trPr>
          <w:tblHeader w:val="true"/>
        </w:trPr>
        <w:tc>
          <w:tcPr>
            <w:tcW w:type="dxa" w:w="936"/>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6"/>
              </w:rPr>
              <w:t>编号</w:t>
            </w:r>
          </w:p>
        </w:tc>
        <w:tc>
          <w:tcPr>
            <w:tcW w:type="dxa" w:w="1656"/>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6"/>
              </w:rPr>
              <w:t>验收项</w:t>
            </w:r>
          </w:p>
        </w:tc>
        <w:tc>
          <w:tcPr>
            <w:tcW w:type="dxa" w:w="5688"/>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6"/>
              </w:rPr>
              <w:t>操作与预期结果</w:t>
            </w:r>
          </w:p>
        </w:tc>
        <w:tc>
          <w:tcPr>
            <w:tcW w:type="dxa" w:w="936"/>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6"/>
              </w:rPr>
              <w:t>结果</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6"/>
              </w:rPr>
              <w:t>AT 01</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登录与锁定</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正确 LDAP 凭据登录成功；连续错误达到阈值后锁定；禁用账户不可进入</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6"/>
              </w:rPr>
              <w:t>待验</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6"/>
              </w:rPr>
              <w:t>AT 02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角色隔离</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普通用户无法访问管理页面和管理 API；管理员可以执行授权操作</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6"/>
              </w:rPr>
              <w:t>待验</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6"/>
              </w:rPr>
              <w:t>AT 03</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用户生命周期</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创建、编辑、禁用、启用和删除测试用户，LDAP 状态与页面一致</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6"/>
              </w:rPr>
              <w:t>待验</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6"/>
              </w:rPr>
              <w:t>AT 04</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Slurm 关联</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创建用户关联，维护 QOS 和默认 QOS，回读结果一致</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6"/>
              </w:rPr>
              <w:t>待验</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6"/>
              </w:rPr>
              <w:t>AT 05</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额度与报表</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查询区间用量、导出 CSV、执行正负拨付并验证上下限与评论</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6"/>
              </w:rPr>
              <w:t>待验</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6"/>
              </w:rPr>
              <w:t>AT 06</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分区与节点</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查询状态，维护测试配置，Drain 与 Resume 正常，配置可回滚</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6"/>
              </w:rPr>
              <w:t>待验</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6"/>
              </w:rPr>
              <w:t>AT 07</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作业管理</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查询作业与详情；管理员取消测试作业；普通用户不能取消他人作业</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6"/>
              </w:rPr>
              <w:t>待验</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6"/>
              </w:rPr>
              <w:t>AT 08</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输出安全</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本人输出可读；他人或允许目录外输出被拒绝；符号链接逃逸被拒绝</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6"/>
              </w:rPr>
              <w:t>待验</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6"/>
              </w:rPr>
              <w:t>AT 09</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文件管理</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Home 内浏览、上传、编辑、重命名和删除成功；越界路径被拒绝</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6"/>
              </w:rPr>
              <w:t>待验</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6"/>
              </w:rPr>
              <w:t>AT 10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离线与代理</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断开公网后页面资源正常；HTTPS 与 WebSocket 代理正常</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6"/>
              </w:rPr>
              <w:t>待验</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6"/>
              </w:rPr>
              <w:t>AT 11</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审计</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关键写操作包含操作者、对象、结果和 request_id，敏感字段已脱敏</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6"/>
              </w:rPr>
              <w:t>待验</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6"/>
              </w:rPr>
              <w:t>AT 12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升级回滚</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按文档完成备份、升级、测试、重启与回退演练</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6"/>
              </w:rPr>
              <w:t>待验</w:t>
            </w:r>
          </w:p>
        </w:tc>
      </w:tr>
    </w:tbl>
    <w:p>
      <w:pPr>
        <w:spacing w:after="20"/>
      </w:pPr>
    </w:p>
    <w:p>
      <w:pPr>
        <w:pStyle w:val="Heading2"/>
      </w:pPr>
      <w:r>
        <w:t>9.3 验收判定建议</w:t>
      </w:r>
    </w:p>
    <w:p>
      <w:pPr>
        <w:ind w:firstLine="420"/>
      </w:pPr>
      <w:r>
        <w:t>全部必选验收用例通过，严重和高等级缺陷清零，中低等级问题已形成双方认可的关闭计划，交付物齐全且管理员培训完成后，可判定项目具备终验条件。若招标文件另有量化指标，以招标文件为准。</w:t>
      </w:r>
    </w:p>
    <w:p>
      <w:r>
        <w:br w:type="page"/>
      </w:r>
    </w:p>
    <w:p>
      <w:pPr>
        <w:pStyle w:val="Heading1"/>
      </w:pPr>
      <w:r>
        <w:t>10  项目管理与风险控制</w:t>
      </w:r>
    </w:p>
    <w:p>
      <w:pPr>
        <w:pStyle w:val="Heading2"/>
      </w:pPr>
      <w:r>
        <w:t>10.1 项目组织建议</w:t>
      </w:r>
    </w:p>
    <w:tbl>
      <w:tblPr>
        <w:tblW w:type="auto" w:w="0"/>
        <w:jc w:val="center"/>
        <w:tblLayout w:type="fixed"/>
        <w:tblLook w:firstColumn="1" w:firstRow="1" w:lastColumn="0" w:lastRow="0" w:noHBand="0" w:noVBand="1" w:val="04A0"/>
      </w:tblPr>
      <w:tblGrid>
        <w:gridCol w:w="3341"/>
        <w:gridCol w:w="3341"/>
        <w:gridCol w:w="3341"/>
      </w:tblGrid>
      <w:tr>
        <w:trPr>
          <w:tblHeader w:val="true"/>
        </w:trPr>
        <w:tc>
          <w:tcPr>
            <w:tcW w:type="dxa" w:w="2016"/>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角色</w:t>
            </w:r>
          </w:p>
        </w:tc>
        <w:tc>
          <w:tcPr>
            <w:tcW w:type="dxa" w:w="5112"/>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主要职责</w:t>
            </w:r>
          </w:p>
        </w:tc>
        <w:tc>
          <w:tcPr>
            <w:tcW w:type="dxa" w:w="2088"/>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来源</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项目负责人</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范围、计划、协调、变更、汇报和验收</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投标人  待填写</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技术负责人</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架构、环境适配、安全基线和疑难问题</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投标人  待填写</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实施工程师</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安装、配置、联调、测试、文档和培训</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投标人  待填写</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业务负责人</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需求确认、业务规则、验收组织</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招标人  待填写</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LDAP 与 Slurm 管理员</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提供环境、权限、配置与变更窗口</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招标人  待填写</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安全负责人</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网络、主机、日志、终端与 AI 安全审查</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招标人  待填写</w:t>
            </w:r>
          </w:p>
        </w:tc>
      </w:tr>
    </w:tbl>
    <w:p>
      <w:pPr>
        <w:spacing w:after="20"/>
      </w:pPr>
    </w:p>
    <w:p>
      <w:r>
        <w:br w:type="page"/>
      </w:r>
    </w:p>
    <w:p>
      <w:pPr>
        <w:pStyle w:val="Heading2"/>
      </w:pPr>
      <w:r>
        <w:t>10.2 风险登记</w:t>
      </w:r>
    </w:p>
    <w:tbl>
      <w:tblPr>
        <w:tblW w:type="auto" w:w="0"/>
        <w:jc w:val="center"/>
        <w:tblLayout w:type="fixed"/>
        <w:tblLook w:firstColumn="1" w:firstRow="1" w:lastColumn="0" w:lastRow="0" w:noHBand="0" w:noVBand="1" w:val="04A0"/>
      </w:tblPr>
      <w:tblGrid>
        <w:gridCol w:w="2505"/>
        <w:gridCol w:w="2505"/>
        <w:gridCol w:w="2505"/>
        <w:gridCol w:w="2505"/>
      </w:tblGrid>
      <w:tr>
        <w:trPr>
          <w:tblHeader w:val="true"/>
        </w:trPr>
        <w:tc>
          <w:tcPr>
            <w:tcW w:type="dxa" w:w="2232"/>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6"/>
              </w:rPr>
              <w:t>风险</w:t>
            </w:r>
          </w:p>
        </w:tc>
        <w:tc>
          <w:tcPr>
            <w:tcW w:type="dxa" w:w="2016"/>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6"/>
              </w:rPr>
              <w:t>影响</w:t>
            </w:r>
          </w:p>
        </w:tc>
        <w:tc>
          <w:tcPr>
            <w:tcW w:type="dxa" w:w="4104"/>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6"/>
              </w:rPr>
              <w:t>应对措施</w:t>
            </w:r>
          </w:p>
        </w:tc>
        <w:tc>
          <w:tcPr>
            <w:tcW w:type="dxa" w:w="864"/>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6"/>
              </w:rPr>
              <w:t>责任</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LDAP 目录结构与默认假设不同</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登录或用户维护失败</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调研 DN、对象类与属性，先在测试目录适配</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6"/>
              </w:rPr>
              <w:t>双方</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Slurm 版本或命令输出差异</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解析和管理操作异常</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记录版本与插件，执行兼容测试，优先使用结构化输出</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6"/>
              </w:rPr>
              <w:t>双方</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运行账户权限过大或不足</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安全风险或功能失败</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建立最小权限矩阵，逐项验证只读与写权限</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6"/>
              </w:rPr>
              <w:t>双方</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直接修改生产配置</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调度中断</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备份、维护窗口、语法检查、重载验证和回滚</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6"/>
              </w:rPr>
              <w:t>招标人</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多进程部署共享状态不足</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登录锁定或在线配置不一致</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当前基线采用单进程；扩展前引入共享存储或外部状态服务</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6"/>
              </w:rPr>
              <w:t>投标人</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终端或 AI 权限使用不当</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命令执行、数据外发或资源消耗</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默认关闭 AI、最小权限、人工确认、内网模型与审计</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6"/>
              </w:rPr>
              <w:t>双方</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日志未集中留存</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无法追溯变更</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接入日志平台，设置权限、留存和防篡改</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6"/>
              </w:rPr>
              <w:t>招标人</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需求持续增加</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工期与费用失控</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冻结基线，新增需求走估算和书面变更</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6"/>
              </w:rPr>
              <w:t>双方</w:t>
            </w:r>
          </w:p>
        </w:tc>
      </w:tr>
    </w:tbl>
    <w:p>
      <w:pPr>
        <w:spacing w:after="20"/>
      </w:pPr>
    </w:p>
    <w:p>
      <w:pPr>
        <w:pStyle w:val="Heading2"/>
      </w:pPr>
      <w:r>
        <w:t>10.3 沟通与报告</w:t>
      </w:r>
    </w:p>
    <w:p>
      <w:pPr>
        <w:pStyle w:val="ListBullet"/>
        <w:spacing w:after="60"/>
        <w:ind w:left="317" w:hanging="216"/>
      </w:pPr>
      <w:r>
        <w:t>启动阶段确认周会、日报或周报频率及紧急联系人。</w:t>
      </w:r>
    </w:p>
    <w:p>
      <w:pPr>
        <w:pStyle w:val="ListBullet"/>
        <w:spacing w:after="60"/>
        <w:ind w:left="317" w:hanging="216"/>
      </w:pPr>
      <w:r>
        <w:t>所有问题进入统一台账，记录负责人、优先级、计划日期、验证结果和关闭证据。</w:t>
      </w:r>
    </w:p>
    <w:p>
      <w:pPr>
        <w:pStyle w:val="ListBullet"/>
        <w:spacing w:after="60"/>
        <w:ind w:left="317" w:hanging="216"/>
      </w:pPr>
      <w:r>
        <w:t>影响范围、架构、工期、费用或安全基线的事项必须形成书面变更。</w:t>
      </w:r>
    </w:p>
    <w:p>
      <w:pPr>
        <w:pStyle w:val="ListBullet"/>
        <w:spacing w:after="60"/>
        <w:ind w:left="317" w:hanging="216"/>
      </w:pPr>
      <w:r>
        <w:t>每个阶段结束进行里程碑评审，未满足准出条件不进入下一阶段。</w:t>
      </w:r>
    </w:p>
    <w:p>
      <w:r>
        <w:br w:type="page"/>
      </w:r>
    </w:p>
    <w:p>
      <w:pPr>
        <w:pStyle w:val="Heading1"/>
      </w:pPr>
      <w:r>
        <w:t>11  商务与合同建议条款</w:t>
      </w:r>
    </w:p>
    <w:p>
      <w:pPr>
        <w:ind w:firstLine="420"/>
      </w:pPr>
      <w:r>
        <w:t>本章仅提供技术投标与合同衔接所需的字段框架，金额、税率、付款比例、质保期限和违约责任均须由投标人依据招标文件填写并完成法务、财务与授权审批。</w:t>
      </w:r>
    </w:p>
    <w:tbl>
      <w:tblPr>
        <w:tblW w:type="auto" w:w="0"/>
        <w:jc w:val="center"/>
        <w:tblLayout w:type="fixed"/>
        <w:tblLook w:firstColumn="1" w:firstRow="1" w:lastColumn="0" w:lastRow="0" w:noHBand="0" w:noVBand="1" w:val="04A0"/>
      </w:tblPr>
      <w:tblGrid>
        <w:gridCol w:w="3341"/>
        <w:gridCol w:w="3341"/>
        <w:gridCol w:w="3341"/>
      </w:tblGrid>
      <w:tr>
        <w:trPr>
          <w:tblHeader w:val="true"/>
        </w:trPr>
        <w:tc>
          <w:tcPr>
            <w:tcW w:type="dxa" w:w="1800"/>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条款</w:t>
            </w:r>
          </w:p>
        </w:tc>
        <w:tc>
          <w:tcPr>
            <w:tcW w:type="dxa" w:w="6264"/>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建议填写内容</w:t>
            </w:r>
          </w:p>
        </w:tc>
        <w:tc>
          <w:tcPr>
            <w:tcW w:type="dxa" w:w="1152"/>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8"/>
              </w:rPr>
              <w:t>当前状态</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投标总价</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软件、实施、定制、培训、质保、差旅和税费分项</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待填写</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项目工期</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起止条件、工作日、现场窗口、延期责任</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待确认</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付款条件</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预付款、上线、初验、终验和质保尾款比例</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待填写</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质保期</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起算日、包含范围、版本更新和服务级别</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待填写</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知识产权</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基础软件、定制代码、第三方组件、文档和数据的权属及许可</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待确认</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数据与保密</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访问范围、日志、终端 AI 数据流、保密期限和人员义务</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待确认</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开源与第三方</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8"/>
              </w:rPr>
              <w:t>组件清单、许可证、升级责任和漏洞处置</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8"/>
              </w:rPr>
              <w:t>待确认</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验收</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8"/>
              </w:rPr>
              <w:t>环境责任、用例、判定、整改、复验和默示验收</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8"/>
              </w:rPr>
              <w:t>待确认</w:t>
            </w:r>
          </w:p>
        </w:tc>
      </w:tr>
    </w:tbl>
    <w:p>
      <w:pPr>
        <w:spacing w:after="20"/>
      </w:pPr>
    </w:p>
    <w:p>
      <w:pPr>
        <w:pStyle w:val="Heading2"/>
      </w:pPr>
      <w:r>
        <w:t>11.1 建议范围外事项</w:t>
      </w:r>
    </w:p>
    <w:p>
      <w:pPr>
        <w:pStyle w:val="ListBullet"/>
        <w:spacing w:after="60"/>
        <w:ind w:left="317" w:hanging="216"/>
      </w:pPr>
      <w:r>
        <w:t>OpenLDAP、SSSD、Slurm、SlurmDBD、NFS、Nginx、证书、监控和备份平台的全新建设，除非报价清单明确包含。</w:t>
      </w:r>
    </w:p>
    <w:p>
      <w:pPr>
        <w:pStyle w:val="ListBullet"/>
        <w:spacing w:after="60"/>
        <w:ind w:left="317" w:hanging="216"/>
      </w:pPr>
      <w:r>
        <w:t>计算节点操作系统、驱动、Munge、网络、DNS、硬件、作业应用和科学软件环境的部署。</w:t>
      </w:r>
    </w:p>
    <w:p>
      <w:pPr>
        <w:pStyle w:val="ListBullet"/>
        <w:spacing w:after="60"/>
        <w:ind w:left="317" w:hanging="216"/>
      </w:pPr>
      <w:r>
        <w:t>公网模型 API 费用、第三方商业软件许可证、云资源和短信邮件等外部服务费用。</w:t>
      </w:r>
    </w:p>
    <w:p>
      <w:pPr>
        <w:pStyle w:val="ListBullet"/>
        <w:spacing w:after="60"/>
        <w:ind w:left="317" w:hanging="216"/>
      </w:pPr>
      <w:r>
        <w:t>超出约定的 LDAP 架构改造、Slurm 插件开发、统一身份平台对接及大规模性能改造。</w:t>
      </w:r>
    </w:p>
    <w:p>
      <w:r>
        <w:br w:type="page"/>
      </w:r>
    </w:p>
    <w:p>
      <w:pPr>
        <w:pStyle w:val="Heading1"/>
      </w:pPr>
      <w:r>
        <w:t>12  技术偏离与待确认事项</w:t>
      </w:r>
    </w:p>
    <w:p>
      <w:pPr>
        <w:ind w:firstLine="420"/>
      </w:pPr>
      <w:r>
        <w:t>在未取得正式招标文件的情况下，无法对招标条款逐条判定偏离。以下事项会直接影响技术方案、报价或验收，应优先澄清。</w:t>
      </w:r>
    </w:p>
    <w:tbl>
      <w:tblPr>
        <w:tblW w:type="auto" w:w="0"/>
        <w:jc w:val="center"/>
        <w:tblLayout w:type="fixed"/>
        <w:tblLook w:firstColumn="1" w:firstRow="1" w:lastColumn="0" w:lastRow="0" w:noHBand="0" w:noVBand="1" w:val="04A0"/>
      </w:tblPr>
      <w:tblGrid>
        <w:gridCol w:w="2505"/>
        <w:gridCol w:w="2505"/>
        <w:gridCol w:w="2505"/>
        <w:gridCol w:w="2505"/>
      </w:tblGrid>
      <w:tr>
        <w:trPr>
          <w:tblHeader w:val="true"/>
        </w:trPr>
        <w:tc>
          <w:tcPr>
            <w:tcW w:type="dxa" w:w="936"/>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6"/>
              </w:rPr>
              <w:t>编号</w:t>
            </w:r>
          </w:p>
        </w:tc>
        <w:tc>
          <w:tcPr>
            <w:tcW w:type="dxa" w:w="4824"/>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6"/>
              </w:rPr>
              <w:t>待确认事项</w:t>
            </w:r>
          </w:p>
        </w:tc>
        <w:tc>
          <w:tcPr>
            <w:tcW w:type="dxa" w:w="1944"/>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6"/>
              </w:rPr>
              <w:t>建议默认值</w:t>
            </w:r>
          </w:p>
        </w:tc>
        <w:tc>
          <w:tcPr>
            <w:tcW w:type="dxa" w:w="1512"/>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6"/>
              </w:rPr>
              <w:t>影响</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6"/>
              </w:rPr>
              <w:t>C 01</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招标人、项目编号、建设地点和采购范围</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无</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封面、合同与交付边界</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6"/>
              </w:rPr>
              <w:t>C 02</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集群规模、并发用户数和作业量</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按现网实测</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容量与性能测试</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6"/>
              </w:rPr>
              <w:t>C 03</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LDAP DN、对象类、属性、TLS 和高可用方式</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现有目录优先</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认证与身份适配</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6"/>
              </w:rPr>
              <w:t>C 04</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Slurm 版本、集群名、SlurmDBD 与 AccountingStorageEnforce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以现网为准</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账户、报表和额度</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6"/>
              </w:rPr>
              <w:t>C 05</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运行主机、操作系统、Nginx、证书和网络区划</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受控内网单实例</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部署与安全</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6"/>
              </w:rPr>
              <w:t>C 06</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管理员操作所需 sudo 与配置文件权限</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最小授权</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分区、节点和终端能力</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6"/>
              </w:rPr>
              <w:t>C 07</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NFS quota 类型、挂载点和数据保护要求</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可选接入</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配额与文件管理</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6"/>
              </w:rPr>
              <w:t>C 08</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是否启用 Web 终端和终端 AI</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终端按需  AI 默认关闭</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安全评审与服务成本</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center"/>
            </w:pPr>
            <w:r>
              <w:rPr>
                <w:sz w:val="16"/>
              </w:rPr>
              <w:t>C 09</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日志留存、等保或内部安全规范</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由招标人提供</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审计、存储和整改</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center"/>
            </w:pPr>
            <w:r>
              <w:rPr>
                <w:sz w:val="16"/>
              </w:rPr>
              <w:t>C 10</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工期、培训、驻场、质保与服务级别</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合同确认</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人员与报价</w:t>
            </w:r>
          </w:p>
        </w:tc>
      </w:tr>
    </w:tbl>
    <w:p>
      <w:pPr>
        <w:spacing w:after="20"/>
      </w:pPr>
    </w:p>
    <w:p>
      <w:pPr>
        <w:pStyle w:val="Heading2"/>
      </w:pPr>
      <w:r>
        <w:t>12.1 已知限制</w:t>
      </w:r>
    </w:p>
    <w:p>
      <w:pPr>
        <w:pStyle w:val="ListBullet"/>
        <w:spacing w:after="60"/>
        <w:ind w:left="317" w:hanging="216"/>
      </w:pPr>
      <w:r>
        <w:t>当前登录限流状态和在线配置主要保存在应用进程内，默认采用单 Uvicorn 进程；多进程或多实例部署需引入共享状态。</w:t>
      </w:r>
    </w:p>
    <w:p>
      <w:pPr>
        <w:pStyle w:val="ListBullet"/>
        <w:spacing w:after="60"/>
        <w:ind w:left="317" w:hanging="216"/>
      </w:pPr>
      <w:r>
        <w:t>管理员身份不会绕过 Linux 文件权限、Slurm 权限或 LDAP 权限，底层授权不足时相应操作会失败。</w:t>
      </w:r>
    </w:p>
    <w:p>
      <w:pPr>
        <w:pStyle w:val="ListBullet"/>
        <w:spacing w:after="60"/>
        <w:ind w:left="317" w:hanging="216"/>
      </w:pPr>
      <w:r>
        <w:t>浏览器端作业监控采样是临时数据，不替代长期监控系统和指标数据库。</w:t>
      </w:r>
    </w:p>
    <w:p>
      <w:pPr>
        <w:pStyle w:val="ListBullet"/>
        <w:spacing w:after="60"/>
        <w:ind w:left="317" w:hanging="216"/>
      </w:pPr>
      <w:r>
        <w:t>Web 终端悬浮状态不跨页面迁移；长期任务应使用 Slurm、tmux 或 screen。</w:t>
      </w:r>
    </w:p>
    <w:p>
      <w:pPr>
        <w:pStyle w:val="ListBullet"/>
        <w:spacing w:after="60"/>
        <w:ind w:left="317" w:hanging="216"/>
      </w:pPr>
      <w:r>
        <w:t>终端 AI 的风险检测属于辅助控制，不能替代最小权限、网络隔离、安全审计和人工审批。</w:t>
      </w:r>
    </w:p>
    <w:p>
      <w:pPr>
        <w:pStyle w:val="Heading1"/>
      </w:pPr>
      <w:r>
        <w:t>附录 A  主要配置与环境要求</w:t>
      </w:r>
    </w:p>
    <w:tbl>
      <w:tblPr>
        <w:tblW w:type="auto" w:w="0"/>
        <w:jc w:val="center"/>
        <w:tblLayout w:type="fixed"/>
        <w:tblLook w:firstColumn="1" w:firstRow="1" w:lastColumn="0" w:lastRow="0" w:noHBand="0" w:noVBand="1" w:val="04A0"/>
      </w:tblPr>
      <w:tblGrid>
        <w:gridCol w:w="3341"/>
        <w:gridCol w:w="3341"/>
        <w:gridCol w:w="3341"/>
      </w:tblGrid>
      <w:tr>
        <w:trPr>
          <w:tblHeader w:val="true"/>
        </w:trPr>
        <w:tc>
          <w:tcPr>
            <w:tcW w:type="dxa" w:w="2880"/>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6"/>
              </w:rPr>
              <w:t>配置项</w:t>
            </w:r>
          </w:p>
        </w:tc>
        <w:tc>
          <w:tcPr>
            <w:tcW w:type="dxa" w:w="3816"/>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6"/>
              </w:rPr>
              <w:t>用途</w:t>
            </w:r>
          </w:p>
        </w:tc>
        <w:tc>
          <w:tcPr>
            <w:tcW w:type="dxa" w:w="2520"/>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6"/>
              </w:rPr>
              <w:t>建议</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LDAP URI 与 Base DN</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连接目录服务并定位用户与组</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按现网填写并验证 TLS</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LDAP 管理 Bind</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执行目录管理操作</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独立服务账户  最小权限  凭据轮换</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SECRET KEY</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Session 签名</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不少于 32 个随机字符  不入库</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AUTHORIZED</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启用认证</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生产环境必须为 True</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ADMIN USERS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门户管理员列表</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定期复核  避免共享账号</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SESSION HTTPS ONLY</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仅通过 HTTPS 发送 Cookie</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HTTPS 部署设为 True</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SLURM DEFAULT ACCOUNT</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新用户默认 Slurm 账户</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按站点策略配置</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SLURM CONFIG DIR</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节点与分区配置目录</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默认 /etc/slurm  实施前备份</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JOB OUTPUT ALLOWED ROOTS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作业输出额外允许目录</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仅加入业务必要目录</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NFS QUOTA FS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用户存储配额文件系统</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启用 quota 后配置</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FILE UPLOAD MAX MB</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单文件上传上限</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结合代理、磁盘和业务容量设置</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TERMINAL ENABLED</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Web 终端开关</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6"/>
              </w:rPr>
              <w:t>完成权限和 HTTPS 检查后启用</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TERMINAL AI ENABLED</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终端 AI 默认开关</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6"/>
              </w:rPr>
              <w:t>安全评审前保持关闭</w:t>
            </w:r>
          </w:p>
        </w:tc>
      </w:tr>
    </w:tbl>
    <w:p>
      <w:pPr>
        <w:spacing w:after="20"/>
      </w:pPr>
    </w:p>
    <w:p>
      <w:pPr>
        <w:pStyle w:val="Heading2"/>
      </w:pPr>
      <w:r>
        <w:t>附录 A.1 环境依赖</w:t>
      </w:r>
    </w:p>
    <w:p>
      <w:pPr>
        <w:pStyle w:val="ListBullet"/>
        <w:spacing w:after="60"/>
        <w:ind w:left="317" w:hanging="216"/>
      </w:pPr>
      <w:r>
        <w:t>Python 3.9 及以上和可用的 uv 或离线 Python 包安装机制。</w:t>
      </w:r>
    </w:p>
    <w:p>
      <w:pPr>
        <w:pStyle w:val="ListBullet"/>
        <w:spacing w:after="60"/>
        <w:ind w:left="317" w:hanging="216"/>
      </w:pPr>
      <w:r>
        <w:t>可访问的 OpenLDAP 服务和匹配的目录管理员凭据。</w:t>
      </w:r>
    </w:p>
    <w:p>
      <w:pPr>
        <w:pStyle w:val="ListBullet"/>
        <w:spacing w:after="60"/>
        <w:ind w:left="317" w:hanging="216"/>
      </w:pPr>
      <w:r>
        <w:t>安装 sinfo、squeue、sacct、sreport、scontrol、sacctmgr、scancel 等所需 Slurm 客户端。</w:t>
      </w:r>
    </w:p>
    <w:p>
      <w:pPr>
        <w:pStyle w:val="ListBullet"/>
        <w:spacing w:after="60"/>
        <w:ind w:left="317" w:hanging="216"/>
      </w:pPr>
      <w:r>
        <w:t>如启用 NFS 配额，安装并配置 quota 与 setquota。</w:t>
      </w:r>
    </w:p>
    <w:p>
      <w:pPr>
        <w:pStyle w:val="ListBullet"/>
        <w:spacing w:after="60"/>
        <w:ind w:left="317" w:hanging="216"/>
      </w:pPr>
      <w:r>
        <w:t>生产环境提供 Nginx、HTTPS 证书、Supervisor 或等效进程管理。</w:t>
      </w:r>
    </w:p>
    <w:p>
      <w:pPr>
        <w:pStyle w:val="ListBullet"/>
        <w:spacing w:after="60"/>
        <w:ind w:left="317" w:hanging="216"/>
      </w:pPr>
      <w:r>
        <w:t>如启用 Web 终端，登录用户须已通过 NSS 或 SSSD 成为本机 Linux 账户。</w:t>
      </w:r>
    </w:p>
    <w:p>
      <w:r>
        <w:br w:type="page"/>
      </w:r>
    </w:p>
    <w:p>
      <w:pPr>
        <w:pStyle w:val="Heading1"/>
      </w:pPr>
      <w:r>
        <w:t>附录 B  投标人信息与签署页</w:t>
      </w:r>
    </w:p>
    <w:tbl>
      <w:tblPr>
        <w:tblW w:type="auto" w:w="0"/>
        <w:jc w:val="center"/>
        <w:tblLayout w:type="fixed"/>
        <w:tblLook w:firstColumn="1" w:firstRow="1" w:lastColumn="0" w:lastRow="0" w:noHBand="0" w:noVBand="1" w:val="04A0"/>
      </w:tblPr>
      <w:tblGrid>
        <w:gridCol w:w="5011"/>
        <w:gridCol w:w="5011"/>
      </w:tblGrid>
      <w:tr>
        <w:trPr>
          <w:tblHeader w:val="true"/>
        </w:trPr>
        <w:tc>
          <w:tcPr>
            <w:tcW w:type="dxa" w:w="2880"/>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9"/>
              </w:rPr>
              <w:t>项目</w:t>
            </w:r>
          </w:p>
        </w:tc>
        <w:tc>
          <w:tcPr>
            <w:tcW w:type="dxa" w:w="6336"/>
            <w:shd w:fill="263238"/>
            <w:tcBorders>
              <w:top w:val="single" w:sz="6" w:color="D9D9D9"/>
              <w:left w:val="single" w:sz="6" w:color="D9D9D9"/>
              <w:bottom w:val="single" w:sz="6" w:color="D9D9D9"/>
              <w:right w:val="single" w:sz="6" w:color="D9D9D9"/>
              <w:insideH w:val="single" w:sz="6" w:color="D9D9D9"/>
              <w:insideV w:val="single" w:sz="6" w:color="D9D9D9"/>
            </w:tcBorders>
            <w:tcMar>
              <w:top w:w="115" w:type="dxa"/>
              <w:start w:w="120" w:type="dxa"/>
              <w:bottom w:w="115" w:type="dxa"/>
              <w:end w:w="120" w:type="dxa"/>
            </w:tcMar>
            <w:vAlign w:val="center"/>
          </w:tcPr>
          <w:p>
            <w:pPr>
              <w:spacing w:after="0"/>
              <w:jc w:val="center"/>
            </w:pPr>
            <w:r>
              <w:rPr>
                <w:b/>
                <w:color w:val="FFFFFF"/>
                <w:sz w:val="19"/>
              </w:rPr>
              <w:t>填写内容</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9"/>
              </w:rPr>
              <w:t>投标人全称</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9"/>
              </w:rPr>
              <w:t>待填写</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9"/>
              </w:rPr>
              <w:t>统一社会信用代码</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9"/>
              </w:rPr>
              <w:t>待填写</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9"/>
              </w:rPr>
              <w:t>注册地址</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9"/>
              </w:rPr>
              <w:t>待填写</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9"/>
              </w:rPr>
              <w:t>法定代表人</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9"/>
              </w:rPr>
              <w:t>待填写</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9"/>
              </w:rPr>
              <w:t>授权代表</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9"/>
              </w:rPr>
              <w:t>待填写</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9"/>
              </w:rPr>
              <w:t>联系人及电话</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9"/>
              </w:rPr>
              <w:t>待填写</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9"/>
              </w:rPr>
              <w:t>电子邮箱</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9"/>
              </w:rPr>
              <w:t>待填写</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9"/>
              </w:rPr>
              <w:t>项目负责人</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9"/>
              </w:rPr>
              <w:t>待填写</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9"/>
              </w:rPr>
              <w:t>同类项目业绩</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76" w:lineRule="auto"/>
              <w:jc w:val="left"/>
            </w:pPr>
            <w:r>
              <w:rPr>
                <w:sz w:val="19"/>
              </w:rPr>
              <w:t>待填写并附证明材料</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9"/>
              </w:rPr>
              <w:t>投标有效期</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5F7"/>
            <w:vAlign w:val="center"/>
          </w:tcPr>
          <w:p>
            <w:pPr>
              <w:spacing w:after="0" w:line="276" w:lineRule="auto"/>
              <w:jc w:val="left"/>
            </w:pPr>
            <w:r>
              <w:rPr>
                <w:sz w:val="19"/>
              </w:rPr>
              <w:t>按招标文件填写</w:t>
            </w:r>
          </w:p>
        </w:tc>
      </w:tr>
    </w:tbl>
    <w:p>
      <w:pPr>
        <w:spacing w:after="20"/>
      </w:pPr>
    </w:p>
    <w:p/>
    <w:p>
      <w:pPr>
        <w:ind w:firstLine="420"/>
      </w:pPr>
      <w:r>
        <w:t>我方确认本投标文件所述现有产品能力以交付版本及双方验收环境的实际验证为准，所有商务承诺以盖章版投标文件和合同为准。</w:t>
      </w:r>
    </w:p>
    <w:p/>
    <w:p/>
    <w:p/>
    <w:p/>
    <w:p>
      <w:pPr>
        <w:jc w:val="right"/>
      </w:pPr>
      <w:r>
        <w:t>投标人盖章  ____________________</w:t>
      </w:r>
    </w:p>
    <w:p>
      <w:pPr>
        <w:jc w:val="right"/>
      </w:pPr>
      <w:r>
        <w:t>法定代表人或授权代表  ____________________</w:t>
      </w:r>
    </w:p>
    <w:p>
      <w:pPr>
        <w:jc w:val="right"/>
      </w:pPr>
      <w:r>
        <w:t>日期  ______年____月____日</w:t>
      </w:r>
    </w:p>
    <w:sectPr w:rsidR="00FC693F" w:rsidRPr="0006063C" w:rsidSect="00034616">
      <w:headerReference w:type="default" r:id="rId9"/>
      <w:footerReference w:type="default" r:id="rId10"/>
      <w:pgSz w:w="12240" w:h="15840"/>
      <w:pgMar w:top="1094" w:right="1037" w:bottom="1008" w:left="1181"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XGW WenKai" w:hAnsi="LXGW WenKai" w:eastAsia="LXGW WenKai"/>
        <w:color w:val="5F6B73"/>
        <w:sz w:val="17"/>
      </w:rPr>
      <w:t xml:space="preserve">第 </w:t>
      <w:fldChar w:fldCharType="begin"/>
      <w:instrText xml:space="preserve"> PAGE </w:instrText>
      <w:fldChar w:fldCharType="end"/>
    </w:r>
    <w:r>
      <w:rPr>
        <w:rFonts w:ascii="LXGW WenKai" w:hAnsi="LXGW WenKai" w:eastAsia="LXGW WenKai"/>
        <w:color w:val="5F6B73"/>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9D9D9"/>
      </w:pBdr>
      <w:pBdr>
        <w:bottom w:val="single" w:sz="4" w:space="4" w:color="D9D9D9"/>
      </w:pBdr>
    </w:pPr>
    <w:r>
      <w:rPr>
        <w:rFonts w:ascii="LXGW WenKai" w:hAnsi="LXGW WenKai" w:eastAsia="LXGW WenKai"/>
        <w:color w:val="5F6B73"/>
        <w:sz w:val="17"/>
      </w:rPr>
      <w:t>智算中心轻量化管理门户项目  技术投标文件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LXGW WenKai" w:hAnsi="LXGW WenKai" w:eastAsia="LXGW WenKa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XGW WenKai" w:hAnsi="LXGW WenKai" w:eastAsia="LXGW WenKa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LXGW WenKai" w:hAnsi="LXGW WenKai" w:eastAsia="LXGW WenKa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LXGW WenKai" w:hAnsi="LXGW WenKai" w:eastAsia="LXGW WenKa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XGW WenKai" w:hAnsi="LXGW WenKai" w:eastAsia="LXGW WenKa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dSubtitle">
    <w:name w:val="Bid Subtitle"/>
    <w:pPr>
      <w:spacing w:after="160"/>
    </w:pPr>
    <w:rPr>
      <w:rFonts w:ascii="LXGW WenKai" w:hAnsi="LXGW WenKai" w:eastAsia="LXGW WenKai"/>
      <w:color w:val="5F6B73"/>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智算中心轻量化管理门户项目 技术投标文件</dc:title>
  <dc:subject>OpenHPC WebUI 技术方案 实施交付 运维服务与验收建议</dc:subject>
  <dc:creator>待填写投标人</dc:creator>
  <cp:keywords>OpenHPC WebUI, Slurm, OpenLDAP, 智算中心, 技术投标文件</cp:keywords>
  <dc:description>generated by python-docx</dc:description>
  <cp:lastModifiedBy/>
  <cp:revision>1</cp:revision>
  <dcterms:created xsi:type="dcterms:W3CDTF">2013-12-23T23:15:00Z</dcterms:created>
  <dcterms:modified xsi:type="dcterms:W3CDTF">2013-12-23T23:15:00Z</dcterms:modified>
  <cp:category/>
</cp:coreProperties>
</file>