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76078" w14:textId="0FE245DD" w:rsidR="00BC025E" w:rsidRPr="00D916ED" w:rsidRDefault="00000000">
      <w:pPr>
        <w:pStyle w:val="a4"/>
        <w:rPr>
          <w:rFonts w:ascii="ＭＳ Ｐゴシック" w:eastAsia="ＭＳ Ｐゴシック" w:hAnsi="ＭＳ Ｐゴシック" w:hint="eastAsia"/>
          <w:bCs w:val="0"/>
          <w:lang w:eastAsia="ja-JP"/>
        </w:rPr>
      </w:pPr>
      <w:r w:rsidRPr="00D916ED">
        <w:rPr>
          <w:rFonts w:ascii="ＭＳ Ｐゴシック" w:eastAsia="ＭＳ Ｐゴシック" w:hAnsi="ＭＳ Ｐゴシック"/>
          <w:bCs w:val="0"/>
        </w:rPr>
        <w:t>AZRAS Official Development History v2.</w:t>
      </w:r>
      <w:r w:rsidR="00D916ED" w:rsidRPr="00D916ED">
        <w:rPr>
          <w:rFonts w:ascii="ＭＳ Ｐゴシック" w:eastAsia="ＭＳ Ｐゴシック" w:hAnsi="ＭＳ Ｐゴシック" w:cs="ＭＳ 明朝" w:hint="eastAsia"/>
          <w:bCs w:val="0"/>
          <w:lang w:eastAsia="ja-JP"/>
        </w:rPr>
        <w:t>０</w:t>
      </w:r>
    </w:p>
    <w:p w14:paraId="4B3C9FEE" w14:textId="77777777" w:rsidR="00BC025E" w:rsidRDefault="00000000">
      <w:pPr>
        <w:pStyle w:val="FirstParagraph"/>
        <w:jc w:val="center"/>
      </w:pPr>
      <w:r>
        <w:rPr>
          <w:rFonts w:ascii="Arial" w:eastAsia="Arial" w:hAnsi="Arial"/>
        </w:rPr>
        <w:t>Evolution of Design Philosophy, System Architecture, and Development Governance through Human-AI Co-development</w:t>
      </w:r>
    </w:p>
    <w:p w14:paraId="6FD03A1C" w14:textId="77777777" w:rsidR="00BC025E" w:rsidRDefault="00000000">
      <w:pPr>
        <w:pStyle w:val="a0"/>
        <w:jc w:val="center"/>
      </w:pPr>
      <w:r>
        <w:rPr>
          <w:rFonts w:ascii="Arial" w:eastAsia="Arial" w:hAnsi="Arial"/>
        </w:rPr>
        <w:t>June 2026 - September 7, 2026</w:t>
      </w:r>
    </w:p>
    <w:p w14:paraId="22523D68" w14:textId="77777777" w:rsidR="00BC025E" w:rsidRDefault="00000000">
      <w:pPr>
        <w:pStyle w:val="2"/>
      </w:pPr>
      <w:r>
        <w:rPr>
          <w:rFonts w:ascii="Arial" w:eastAsia="Arial" w:hAnsi="Arial"/>
          <w:b w:val="0"/>
        </w:rPr>
        <w:t>1. How AZRAS Began</w:t>
      </w:r>
    </w:p>
    <w:p w14:paraId="480A94B9" w14:textId="77777777" w:rsidR="00BC025E" w:rsidRDefault="00000000">
      <w:pPr>
        <w:pStyle w:val="FirstParagraph"/>
      </w:pPr>
      <w:r>
        <w:rPr>
          <w:rFonts w:ascii="Arial" w:eastAsia="Arial" w:hAnsi="Arial"/>
        </w:rPr>
        <w:t>AZRAS software development began with a practical need: to compare construction cost, environmental impact, energy use, renewal, and business feasibility under the same conditions when the same building is constructed using different methods. The earliest baseline date verifiable from existing records is June 20, 2026. The initial objective was to compare construction systems such as AZRAS, 2x6 timber framing, and reinforced-concrete moment-resisting frames using the same plan. The comparison scope then expanded to material quantities, CO2, energy, repair, renewal, rebuilding, and 50-year and 200-year cash flow.</w:t>
      </w:r>
    </w:p>
    <w:p w14:paraId="58F86428" w14:textId="77777777" w:rsidR="00BC025E" w:rsidRDefault="00000000">
      <w:pPr>
        <w:pStyle w:val="a0"/>
      </w:pPr>
      <w:r>
        <w:rPr>
          <w:rFonts w:ascii="Arial" w:eastAsia="Arial" w:hAnsi="Arial"/>
        </w:rPr>
        <w:t>Because the effects of reinforced-concrete thermal mass and external insulation could not be adequately evaluated by annual totals alone, development moved to 8,760-hour time-series calculations, leading to the first clearly defined software lineage, the "AZRAS Dynamic Thermal Model."</w:t>
      </w:r>
    </w:p>
    <w:p w14:paraId="4C274266" w14:textId="77777777" w:rsidR="00BC025E" w:rsidRDefault="00000000">
      <w:pPr>
        <w:pStyle w:val="2"/>
      </w:pPr>
      <w:r>
        <w:rPr>
          <w:rFonts w:ascii="Arial" w:eastAsia="Arial" w:hAnsi="Arial"/>
          <w:b w:val="0"/>
        </w:rPr>
        <w:t>2. Evolution of Names and Roles</w:t>
      </w:r>
    </w:p>
    <w:tbl>
      <w:tblPr>
        <w:tblStyle w:val="Table"/>
        <w:tblW w:w="5000" w:type="pct"/>
        <w:tblLayout w:type="fixed"/>
        <w:tblLook w:val="0020" w:firstRow="1" w:lastRow="0" w:firstColumn="0" w:lastColumn="0" w:noHBand="0" w:noVBand="0"/>
      </w:tblPr>
      <w:tblGrid>
        <w:gridCol w:w="3018"/>
        <w:gridCol w:w="3018"/>
        <w:gridCol w:w="3018"/>
      </w:tblGrid>
      <w:tr w:rsidR="00BC025E" w14:paraId="4F4117BE" w14:textId="77777777" w:rsidTr="00BC025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2B242A" w14:textId="77777777" w:rsidR="00BC025E" w:rsidRDefault="00000000">
            <w:r>
              <w:rPr>
                <w:rFonts w:ascii="Arial" w:eastAsia="Arial" w:hAnsi="Arial"/>
                <w:b/>
              </w:rPr>
              <w:t>Period</w:t>
            </w:r>
          </w:p>
        </w:tc>
        <w:tc>
          <w:tcPr>
            <w:tcW w:w="2640" w:type="dxa"/>
          </w:tcPr>
          <w:p w14:paraId="27172252" w14:textId="77777777" w:rsidR="00BC025E" w:rsidRDefault="00000000">
            <w:r>
              <w:rPr>
                <w:rFonts w:ascii="Arial" w:eastAsia="Arial" w:hAnsi="Arial"/>
                <w:b/>
              </w:rPr>
              <w:t>Primary name / configuration</w:t>
            </w:r>
          </w:p>
        </w:tc>
        <w:tc>
          <w:tcPr>
            <w:tcW w:w="2640" w:type="dxa"/>
          </w:tcPr>
          <w:p w14:paraId="3D8C6D12" w14:textId="77777777" w:rsidR="00BC025E" w:rsidRDefault="00000000">
            <w:r>
              <w:rPr>
                <w:rFonts w:ascii="Arial" w:eastAsia="Arial" w:hAnsi="Arial"/>
                <w:b/>
              </w:rPr>
              <w:t>Development significance</w:t>
            </w:r>
          </w:p>
        </w:tc>
      </w:tr>
      <w:tr w:rsidR="00BC025E" w14:paraId="48D4BCBB" w14:textId="77777777">
        <w:tc>
          <w:tcPr>
            <w:tcW w:w="2640" w:type="dxa"/>
          </w:tcPr>
          <w:p w14:paraId="0F38A373" w14:textId="77777777" w:rsidR="00BC025E" w:rsidRDefault="00000000">
            <w:r>
              <w:rPr>
                <w:rFonts w:ascii="Arial" w:eastAsia="Arial" w:hAnsi="Arial"/>
              </w:rPr>
              <w:t>June 2026</w:t>
            </w:r>
          </w:p>
        </w:tc>
        <w:tc>
          <w:tcPr>
            <w:tcW w:w="2640" w:type="dxa"/>
          </w:tcPr>
          <w:p w14:paraId="0AE33AF0" w14:textId="77777777" w:rsidR="00BC025E" w:rsidRDefault="00000000">
            <w:r>
              <w:rPr>
                <w:rFonts w:ascii="Arial" w:eastAsia="Arial" w:hAnsi="Arial"/>
              </w:rPr>
              <w:t>Construction-method comparison / Dynamic Thermal Model</w:t>
            </w:r>
          </w:p>
        </w:tc>
        <w:tc>
          <w:tcPr>
            <w:tcW w:w="2640" w:type="dxa"/>
          </w:tcPr>
          <w:p w14:paraId="4A58B997" w14:textId="77777777" w:rsidR="00BC025E" w:rsidRDefault="00000000">
            <w:r>
              <w:rPr>
                <w:rFonts w:ascii="Arial" w:eastAsia="Arial" w:hAnsi="Arial"/>
              </w:rPr>
              <w:t>Comparison of construction methods under identical conditions and 8,760-hour thermal calculations</w:t>
            </w:r>
          </w:p>
        </w:tc>
      </w:tr>
      <w:tr w:rsidR="00BC025E" w14:paraId="293ABF3A" w14:textId="77777777">
        <w:tc>
          <w:tcPr>
            <w:tcW w:w="2640" w:type="dxa"/>
          </w:tcPr>
          <w:p w14:paraId="24593AD6" w14:textId="77777777" w:rsidR="00BC025E" w:rsidRDefault="00000000">
            <w:r>
              <w:rPr>
                <w:rFonts w:ascii="Arial" w:eastAsia="Arial" w:hAnsi="Arial"/>
              </w:rPr>
              <w:t>July 2026</w:t>
            </w:r>
          </w:p>
        </w:tc>
        <w:tc>
          <w:tcPr>
            <w:tcW w:w="2640" w:type="dxa"/>
          </w:tcPr>
          <w:p w14:paraId="0E32E29C" w14:textId="77777777" w:rsidR="00BC025E" w:rsidRDefault="00000000">
            <w:r>
              <w:rPr>
                <w:rFonts w:ascii="Arial" w:eastAsia="Arial" w:hAnsi="Arial"/>
              </w:rPr>
              <w:t>AZRAS Global Simulator</w:t>
            </w:r>
          </w:p>
        </w:tc>
        <w:tc>
          <w:tcPr>
            <w:tcW w:w="2640" w:type="dxa"/>
          </w:tcPr>
          <w:p w14:paraId="512C3D5B" w14:textId="77777777" w:rsidR="00BC025E" w:rsidRDefault="00000000">
            <w:r>
              <w:rPr>
                <w:rFonts w:ascii="Arial" w:eastAsia="Arial" w:hAnsi="Arial"/>
              </w:rPr>
              <w:t>Expanded from thermal/environmental calculation to drawing input and AI PDF analysis</w:t>
            </w:r>
          </w:p>
        </w:tc>
      </w:tr>
      <w:tr w:rsidR="00BC025E" w14:paraId="6211A431" w14:textId="77777777">
        <w:tc>
          <w:tcPr>
            <w:tcW w:w="2640" w:type="dxa"/>
          </w:tcPr>
          <w:p w14:paraId="4DC6CE84" w14:textId="77777777" w:rsidR="00BC025E" w:rsidRDefault="00000000">
            <w:r>
              <w:rPr>
                <w:rFonts w:ascii="Arial" w:eastAsia="Arial" w:hAnsi="Arial"/>
              </w:rPr>
              <w:t>July 2026</w:t>
            </w:r>
          </w:p>
        </w:tc>
        <w:tc>
          <w:tcPr>
            <w:tcW w:w="2640" w:type="dxa"/>
          </w:tcPr>
          <w:p w14:paraId="5EED6B81" w14:textId="77777777" w:rsidR="00BC025E" w:rsidRDefault="00000000">
            <w:r>
              <w:rPr>
                <w:rFonts w:ascii="Arial" w:eastAsia="Arial" w:hAnsi="Arial"/>
              </w:rPr>
              <w:t>AZRAS Global Building Platform</w:t>
            </w:r>
          </w:p>
        </w:tc>
        <w:tc>
          <w:tcPr>
            <w:tcW w:w="2640" w:type="dxa"/>
          </w:tcPr>
          <w:p w14:paraId="55420DA0" w14:textId="77777777" w:rsidR="00BC025E" w:rsidRDefault="00000000">
            <w:r>
              <w:rPr>
                <w:rFonts w:ascii="Arial" w:eastAsia="Arial" w:hAnsi="Arial"/>
              </w:rPr>
              <w:t>Integrated estimating, reinforcement, AI recognition, cost, hazard, and location evaluation</w:t>
            </w:r>
          </w:p>
        </w:tc>
      </w:tr>
      <w:tr w:rsidR="00BC025E" w14:paraId="098491BE" w14:textId="77777777">
        <w:tc>
          <w:tcPr>
            <w:tcW w:w="2640" w:type="dxa"/>
          </w:tcPr>
          <w:p w14:paraId="59D4C94F" w14:textId="77777777" w:rsidR="00BC025E" w:rsidRDefault="00000000">
            <w:r>
              <w:rPr>
                <w:rFonts w:ascii="Arial" w:eastAsia="Arial" w:hAnsi="Arial"/>
              </w:rPr>
              <w:t>Late July 2026</w:t>
            </w:r>
          </w:p>
        </w:tc>
        <w:tc>
          <w:tcPr>
            <w:tcW w:w="2640" w:type="dxa"/>
          </w:tcPr>
          <w:p w14:paraId="533BCFEA" w14:textId="77777777" w:rsidR="00BC025E" w:rsidRDefault="00000000">
            <w:r>
              <w:rPr>
                <w:rFonts w:ascii="Arial" w:eastAsia="Arial" w:hAnsi="Arial"/>
              </w:rPr>
              <w:t>AZRAS Platform V9 / Project JSON</w:t>
            </w:r>
          </w:p>
        </w:tc>
        <w:tc>
          <w:tcPr>
            <w:tcW w:w="2640" w:type="dxa"/>
          </w:tcPr>
          <w:p w14:paraId="38A41348" w14:textId="77777777" w:rsidR="00BC025E" w:rsidRDefault="00000000">
            <w:r>
              <w:rPr>
                <w:rFonts w:ascii="Arial" w:eastAsia="Arial" w:hAnsi="Arial"/>
              </w:rPr>
              <w:t>Established module separation and a common data contract</w:t>
            </w:r>
          </w:p>
        </w:tc>
      </w:tr>
      <w:tr w:rsidR="00BC025E" w14:paraId="55621917" w14:textId="77777777">
        <w:tc>
          <w:tcPr>
            <w:tcW w:w="2640" w:type="dxa"/>
          </w:tcPr>
          <w:p w14:paraId="3DD7DEAB" w14:textId="77777777" w:rsidR="00BC025E" w:rsidRDefault="00000000">
            <w:r>
              <w:rPr>
                <w:rFonts w:ascii="Arial" w:eastAsia="Arial" w:hAnsi="Arial"/>
              </w:rPr>
              <w:t>Late July 2026</w:t>
            </w:r>
          </w:p>
        </w:tc>
        <w:tc>
          <w:tcPr>
            <w:tcW w:w="2640" w:type="dxa"/>
          </w:tcPr>
          <w:p w14:paraId="1D862C40" w14:textId="77777777" w:rsidR="00BC025E" w:rsidRDefault="00000000">
            <w:r>
              <w:rPr>
                <w:rFonts w:ascii="Arial" w:eastAsia="Arial" w:hAnsi="Arial"/>
              </w:rPr>
              <w:t>Platform Core / Integrated Comparison / Modular</w:t>
            </w:r>
          </w:p>
        </w:tc>
        <w:tc>
          <w:tcPr>
            <w:tcW w:w="2640" w:type="dxa"/>
          </w:tcPr>
          <w:p w14:paraId="3F5C5CD4" w14:textId="77777777" w:rsidR="00BC025E" w:rsidRDefault="00000000">
            <w:r>
              <w:rPr>
                <w:rFonts w:ascii="Arial" w:eastAsia="Arial" w:hAnsi="Arial"/>
              </w:rPr>
              <w:t xml:space="preserve">Shifted from a monolithic integrated architecture to </w:t>
            </w:r>
            <w:r>
              <w:rPr>
                <w:rFonts w:ascii="Arial" w:eastAsia="Arial" w:hAnsi="Arial"/>
              </w:rPr>
              <w:lastRenderedPageBreak/>
              <w:t>loosely coupled architecture</w:t>
            </w:r>
          </w:p>
        </w:tc>
      </w:tr>
      <w:tr w:rsidR="00BC025E" w14:paraId="03FD20C1" w14:textId="77777777">
        <w:tc>
          <w:tcPr>
            <w:tcW w:w="2640" w:type="dxa"/>
          </w:tcPr>
          <w:p w14:paraId="2F696CA9" w14:textId="77777777" w:rsidR="00BC025E" w:rsidRDefault="00000000">
            <w:r>
              <w:rPr>
                <w:rFonts w:ascii="Arial" w:eastAsia="Arial" w:hAnsi="Arial"/>
              </w:rPr>
              <w:lastRenderedPageBreak/>
              <w:t>August 5, 2026</w:t>
            </w:r>
          </w:p>
        </w:tc>
        <w:tc>
          <w:tcPr>
            <w:tcW w:w="2640" w:type="dxa"/>
          </w:tcPr>
          <w:p w14:paraId="7A7A590C" w14:textId="77777777" w:rsidR="00BC025E" w:rsidRDefault="00000000">
            <w:r>
              <w:rPr>
                <w:rFonts w:ascii="Arial" w:eastAsia="Arial" w:hAnsi="Arial"/>
              </w:rPr>
              <w:t>Standalone Applications</w:t>
            </w:r>
          </w:p>
        </w:tc>
        <w:tc>
          <w:tcPr>
            <w:tcW w:w="2640" w:type="dxa"/>
          </w:tcPr>
          <w:p w14:paraId="42B71067" w14:textId="77777777" w:rsidR="00BC025E" w:rsidRDefault="00000000">
            <w:r>
              <w:rPr>
                <w:rFonts w:ascii="Arial" w:eastAsia="Arial" w:hAnsi="Arial"/>
              </w:rPr>
              <w:t>Separated into Planning / Compare / Evaluation / Disaster / Professional / Twin, etc.</w:t>
            </w:r>
          </w:p>
        </w:tc>
      </w:tr>
      <w:tr w:rsidR="00BC025E" w14:paraId="47339C7B" w14:textId="77777777">
        <w:tc>
          <w:tcPr>
            <w:tcW w:w="2640" w:type="dxa"/>
          </w:tcPr>
          <w:p w14:paraId="20DE3DB8" w14:textId="77777777" w:rsidR="00BC025E" w:rsidRDefault="00000000">
            <w:r>
              <w:rPr>
                <w:rFonts w:ascii="Arial" w:eastAsia="Arial" w:hAnsi="Arial"/>
              </w:rPr>
              <w:t>Mid-August 2026</w:t>
            </w:r>
          </w:p>
        </w:tc>
        <w:tc>
          <w:tcPr>
            <w:tcW w:w="2640" w:type="dxa"/>
          </w:tcPr>
          <w:p w14:paraId="08F278C4" w14:textId="77777777" w:rsidR="00BC025E" w:rsidRDefault="00000000">
            <w:r>
              <w:rPr>
                <w:rFonts w:ascii="Arial" w:eastAsia="Arial" w:hAnsi="Arial"/>
              </w:rPr>
              <w:t>AZRAS System Initial Release -&gt; v1.0.0</w:t>
            </w:r>
          </w:p>
        </w:tc>
        <w:tc>
          <w:tcPr>
            <w:tcW w:w="2640" w:type="dxa"/>
          </w:tcPr>
          <w:p w14:paraId="590F9E2A" w14:textId="77777777" w:rsidR="00BC025E" w:rsidRDefault="00000000">
            <w:r>
              <w:rPr>
                <w:rFonts w:ascii="Arial" w:eastAsia="Arial" w:hAnsi="Arial"/>
              </w:rPr>
              <w:t>Entered the formal release stage as a product family</w:t>
            </w:r>
          </w:p>
        </w:tc>
      </w:tr>
      <w:tr w:rsidR="00BC025E" w14:paraId="47C31AB7" w14:textId="77777777">
        <w:tc>
          <w:tcPr>
            <w:tcW w:w="2640" w:type="dxa"/>
          </w:tcPr>
          <w:p w14:paraId="2206F1C1" w14:textId="77777777" w:rsidR="00BC025E" w:rsidRDefault="00000000">
            <w:r>
              <w:rPr>
                <w:rFonts w:ascii="Arial" w:eastAsia="Arial" w:hAnsi="Arial"/>
              </w:rPr>
              <w:t>August 23, 2026</w:t>
            </w:r>
          </w:p>
        </w:tc>
        <w:tc>
          <w:tcPr>
            <w:tcW w:w="2640" w:type="dxa"/>
          </w:tcPr>
          <w:p w14:paraId="7F752F22" w14:textId="77777777" w:rsidR="00BC025E" w:rsidRDefault="00000000">
            <w:r>
              <w:rPr>
                <w:rFonts w:ascii="Arial" w:eastAsia="Arial" w:hAnsi="Arial"/>
              </w:rPr>
              <w:t>AZRAS Apps v1.0.0</w:t>
            </w:r>
          </w:p>
        </w:tc>
        <w:tc>
          <w:tcPr>
            <w:tcW w:w="2640" w:type="dxa"/>
          </w:tcPr>
          <w:p w14:paraId="4D9E2A21" w14:textId="77777777" w:rsidR="00BC025E" w:rsidRDefault="00000000">
            <w:r>
              <w:rPr>
                <w:rFonts w:ascii="Arial" w:eastAsia="Arial" w:hAnsi="Arial"/>
              </w:rPr>
              <w:t>Clarified positioning as a family of independent applications</w:t>
            </w:r>
          </w:p>
        </w:tc>
      </w:tr>
      <w:tr w:rsidR="00BC025E" w14:paraId="29B3983F" w14:textId="77777777">
        <w:tc>
          <w:tcPr>
            <w:tcW w:w="2640" w:type="dxa"/>
          </w:tcPr>
          <w:p w14:paraId="22E4B972" w14:textId="77777777" w:rsidR="00BC025E" w:rsidRDefault="00000000">
            <w:r>
              <w:rPr>
                <w:rFonts w:ascii="Arial" w:eastAsia="Arial" w:hAnsi="Arial"/>
              </w:rPr>
              <w:t>Late August 2026</w:t>
            </w:r>
          </w:p>
        </w:tc>
        <w:tc>
          <w:tcPr>
            <w:tcW w:w="2640" w:type="dxa"/>
          </w:tcPr>
          <w:p w14:paraId="3BAB1186" w14:textId="77777777" w:rsidR="00BC025E" w:rsidRDefault="00000000">
            <w:r>
              <w:rPr>
                <w:rFonts w:ascii="Arial" w:eastAsia="Arial" w:hAnsi="Arial"/>
              </w:rPr>
              <w:t>AI Common Exchange / Multi-AI</w:t>
            </w:r>
          </w:p>
        </w:tc>
        <w:tc>
          <w:tcPr>
            <w:tcW w:w="2640" w:type="dxa"/>
          </w:tcPr>
          <w:p w14:paraId="2CCC039E" w14:textId="77777777" w:rsidR="00BC025E" w:rsidRDefault="00000000">
            <w:r>
              <w:rPr>
                <w:rFonts w:ascii="Arial" w:eastAsia="Arial" w:hAnsi="Arial"/>
              </w:rPr>
              <w:t>Moved toward a common exchange specification connecting arbitrary AI systems with AZRAS</w:t>
            </w:r>
          </w:p>
        </w:tc>
      </w:tr>
      <w:tr w:rsidR="00BC025E" w14:paraId="7C7FBBFA" w14:textId="77777777">
        <w:tc>
          <w:tcPr>
            <w:tcW w:w="2640" w:type="dxa"/>
          </w:tcPr>
          <w:p w14:paraId="69E4662D" w14:textId="77777777" w:rsidR="00BC025E" w:rsidRDefault="00000000">
            <w:r>
              <w:rPr>
                <w:rFonts w:ascii="Arial" w:eastAsia="Arial" w:hAnsi="Arial"/>
              </w:rPr>
              <w:t>August 31, 2026</w:t>
            </w:r>
          </w:p>
        </w:tc>
        <w:tc>
          <w:tcPr>
            <w:tcW w:w="2640" w:type="dxa"/>
          </w:tcPr>
          <w:p w14:paraId="7A30BC83" w14:textId="77777777" w:rsidR="00BC025E" w:rsidRDefault="00000000">
            <w:r>
              <w:rPr>
                <w:rFonts w:ascii="Arial" w:eastAsia="Arial" w:hAnsi="Arial"/>
              </w:rPr>
              <w:t>AZRAS DEVELOPMENT CONSTITUTION v0.1</w:t>
            </w:r>
          </w:p>
        </w:tc>
        <w:tc>
          <w:tcPr>
            <w:tcW w:w="2640" w:type="dxa"/>
          </w:tcPr>
          <w:p w14:paraId="3ABCEA92" w14:textId="77777777" w:rsidR="00BC025E" w:rsidRDefault="00000000">
            <w:r>
              <w:rPr>
                <w:rFonts w:ascii="Arial" w:eastAsia="Arial" w:hAnsi="Arial"/>
              </w:rPr>
              <w:t>Shifted development governance from AI memory to project-held authoritative decisions</w:t>
            </w:r>
          </w:p>
        </w:tc>
      </w:tr>
    </w:tbl>
    <w:p w14:paraId="4B5B56F6" w14:textId="77777777" w:rsidR="00BC025E" w:rsidRDefault="00000000">
      <w:pPr>
        <w:pStyle w:val="2"/>
      </w:pPr>
      <w:r>
        <w:rPr>
          <w:rFonts w:ascii="Arial" w:eastAsia="Arial" w:hAnsi="Arial"/>
          <w:b w:val="0"/>
        </w:rPr>
        <w:t>3. Major Technical Turning Points</w:t>
      </w:r>
    </w:p>
    <w:p w14:paraId="0A240000" w14:textId="77777777" w:rsidR="00BC025E" w:rsidRDefault="00000000">
      <w:pPr>
        <w:pStyle w:val="FirstParagraph"/>
      </w:pPr>
      <w:r>
        <w:rPr>
          <w:rFonts w:ascii="Arial" w:eastAsia="Arial" w:hAnsi="Arial"/>
        </w:rPr>
        <w:t>By July 2026, functions such as Drawing Input, AI PDF Import, AI Recognition, and Automatic Takeoff had appeared, establishing a clear direction toward extracting quantities from drawings. AI-based takeoff did not suddenly begin at the end of August; it developed continuously from work already underway in July.</w:t>
      </w:r>
    </w:p>
    <w:p w14:paraId="2220B14E" w14:textId="77777777" w:rsidR="00BC025E" w:rsidRDefault="00000000">
      <w:pPr>
        <w:pStyle w:val="a0"/>
      </w:pPr>
      <w:r>
        <w:rPr>
          <w:rFonts w:ascii="Arial" w:eastAsia="Arial" w:hAnsi="Arial"/>
        </w:rPr>
        <w:t>An early approach color-coded AI-recognized elements on the source PDF for human verification. However, differences in drawing coordinates, lines, text, hatching, and PDF generation methods proved difficult to normalize reliably, so color-coding did not become the primary method. The underlying principle - making it possible to verify what the AI saw and why it reached a conclusion - was retained as Source, Evidence, Calculation Basis, Confidence, and Uncertainty.</w:t>
      </w:r>
    </w:p>
    <w:p w14:paraId="5B3EC4BE" w14:textId="77777777" w:rsidR="00BC025E" w:rsidRDefault="00000000">
      <w:pPr>
        <w:pStyle w:val="a0"/>
      </w:pPr>
      <w:r>
        <w:rPr>
          <w:rFonts w:ascii="Arial" w:eastAsia="Arial" w:hAnsi="Arial"/>
        </w:rPr>
        <w:t>Direct analysis of CAD vector data was also tested, but real CAD files vary widely in layers, blocks, line types, dimension conventions, and symbols depending on the designer and software. AZRAS therefore moved away from maintaining a universal CAD parser internally. PDF became the standard practical input, while CAD/DXF/IFC could be interpreted by external AI or an interpreter and converted into a common exchange format before being passed to AZRAS.</w:t>
      </w:r>
    </w:p>
    <w:p w14:paraId="120E8AD6" w14:textId="77777777" w:rsidR="00BC025E" w:rsidRDefault="00000000">
      <w:pPr>
        <w:pStyle w:val="2"/>
      </w:pPr>
      <w:r>
        <w:rPr>
          <w:rFonts w:ascii="Arial" w:eastAsia="Arial" w:hAnsi="Arial"/>
          <w:b w:val="0"/>
        </w:rPr>
        <w:lastRenderedPageBreak/>
        <w:t>4. From a Monolithic Platform to Independent Applications</w:t>
      </w:r>
    </w:p>
    <w:p w14:paraId="52F0F71A" w14:textId="77777777" w:rsidR="00BC025E" w:rsidRDefault="00000000">
      <w:pPr>
        <w:pStyle w:val="FirstParagraph"/>
      </w:pPr>
      <w:r>
        <w:rPr>
          <w:rFonts w:ascii="Arial" w:eastAsia="Arial" w:hAnsi="Arial"/>
        </w:rPr>
        <w:t>As functions increased, keeping everything in one large application increased dependencies and regression risk. Platform Modular was established at the end of July 2026, and on August 5, Planning Basic, Compare, Evaluation, Disaster, Professional, Twin, and other functions were separated into standalone applications.</w:t>
      </w:r>
    </w:p>
    <w:p w14:paraId="0144859A" w14:textId="77777777" w:rsidR="00BC025E" w:rsidRDefault="00000000">
      <w:pPr>
        <w:pStyle w:val="a0"/>
      </w:pPr>
      <w:r>
        <w:rPr>
          <w:rFonts w:ascii="Arial" w:eastAsia="Arial" w:hAnsi="Arial"/>
        </w:rPr>
        <w:t>The central concept enabling this transition was Project JSON. Project JSON was positioned not merely as a save file, but as a common data contract connecting independent AZRAS applications. Project information created in Planning could be read by Evaluation and Feasibility, while Compare could compare multiple construction methods across projects in a loosely coupled workflow.</w:t>
      </w:r>
    </w:p>
    <w:p w14:paraId="3CC620AA" w14:textId="77777777" w:rsidR="00BC025E" w:rsidRDefault="00000000">
      <w:pPr>
        <w:pStyle w:val="2"/>
      </w:pPr>
      <w:r>
        <w:rPr>
          <w:rFonts w:ascii="Arial" w:eastAsia="Arial" w:hAnsi="Arial"/>
          <w:b w:val="0"/>
        </w:rPr>
        <w:t>5. Real Drawing Verification Changed the Role of AI Takeoff</w:t>
      </w:r>
    </w:p>
    <w:p w14:paraId="17DFEAAF" w14:textId="77777777" w:rsidR="00BC025E" w:rsidRDefault="00000000">
      <w:pPr>
        <w:pStyle w:val="FirstParagraph"/>
      </w:pPr>
      <w:r>
        <w:rPr>
          <w:rFonts w:ascii="Arial" w:eastAsia="Arial" w:hAnsi="Arial"/>
        </w:rPr>
        <w:t>In late August 2026, verification advanced to quantity takeoff using a complete set of actual steel-structure design drawings. It became clear that quantities could not be finalized from columns and beams alone: base plates, anchor bolts, splice bolts, plates, girts, mounting bolts, and reinforcement anchorage, laps, and pressure-welded joints shown in standard details all required cross-referencing multiple drawings.</w:t>
      </w:r>
    </w:p>
    <w:p w14:paraId="043B011D" w14:textId="77777777" w:rsidR="00BC025E" w:rsidRDefault="00000000">
      <w:pPr>
        <w:pStyle w:val="a0"/>
      </w:pPr>
      <w:r>
        <w:rPr>
          <w:rFonts w:ascii="Arial" w:eastAsia="Arial" w:hAnsi="Arial"/>
        </w:rPr>
        <w:t>This experience changed the role of AI from "reading one drawing" to "cross-referencing plans, framing plans, framing elevations, sections, standard details, detail drawings, member schedules, finish schedules, door/window schedules, and MEP drawings, then presenting quantities with supporting evidence."</w:t>
      </w:r>
    </w:p>
    <w:p w14:paraId="66A6583A" w14:textId="77777777" w:rsidR="00BC025E" w:rsidRDefault="00000000">
      <w:pPr>
        <w:pStyle w:val="2"/>
      </w:pPr>
      <w:r>
        <w:rPr>
          <w:rFonts w:ascii="Arial" w:eastAsia="Arial" w:hAnsi="Arial"/>
          <w:b w:val="0"/>
        </w:rPr>
        <w:t>6. AI Independence - Any AI Architecture</w:t>
      </w:r>
    </w:p>
    <w:p w14:paraId="169386BC" w14:textId="77777777" w:rsidR="00BC025E" w:rsidRDefault="00000000">
      <w:pPr>
        <w:pStyle w:val="FirstParagraph"/>
      </w:pPr>
      <w:r>
        <w:rPr>
          <w:rFonts w:ascii="Arial" w:eastAsia="Arial" w:hAnsi="Arial"/>
        </w:rPr>
        <w:t>AZRAS is not tied to a specific AI model or provider. Its basic structure is "Source Data -&gt; Any AI -&gt; AZRAS Common Exchange Data -&gt; AZRAS." AI handles drawing understanding, recognition of symbols, notes, tables, and dimensions, cross-drawing review, quantity calculation, translation, and similar tasks. AZRAS handles Project Data, reproducible calculations, environmental, economic, and business evaluations, long-term cash flow, comparison, version control, and verification.</w:t>
      </w:r>
    </w:p>
    <w:p w14:paraId="34A48FB9" w14:textId="77777777" w:rsidR="00BC025E" w:rsidRDefault="00000000">
      <w:pPr>
        <w:pStyle w:val="a0"/>
      </w:pPr>
      <w:r>
        <w:rPr>
          <w:rFonts w:ascii="Arial" w:eastAsia="Arial" w:hAnsi="Arial"/>
        </w:rPr>
        <w:t>AI output is based not on quantity alone, but on Quantity + Source + Evidence + Calculation Basis + Confidence + Uncertainty. When multiple AI systems are used, the original responses and their evidence are retained; agreement among AIs is not automatically treated as proof of correctness.</w:t>
      </w:r>
    </w:p>
    <w:p w14:paraId="282A733E" w14:textId="77777777" w:rsidR="00BC025E" w:rsidRDefault="00000000">
      <w:pPr>
        <w:pStyle w:val="2"/>
      </w:pPr>
      <w:r>
        <w:rPr>
          <w:rFonts w:ascii="Arial" w:eastAsia="Arial" w:hAnsi="Arial"/>
          <w:b w:val="0"/>
        </w:rPr>
        <w:t>7. Separating Confirmed, Assumed, and Unknown Values</w:t>
      </w:r>
    </w:p>
    <w:p w14:paraId="7F93CC7D" w14:textId="77777777" w:rsidR="00BC025E" w:rsidRDefault="00000000">
      <w:pPr>
        <w:pStyle w:val="FirstParagraph"/>
      </w:pPr>
      <w:r>
        <w:rPr>
          <w:rFonts w:ascii="Arial" w:eastAsia="Arial" w:hAnsi="Arial"/>
        </w:rPr>
        <w:t>Quantities that can be determined from drawings are treated as confirmed values. Quantities that cannot be confirmed from drawings alone but can be calculated on a reasonable basis retain a numeric value while being distinguished as assumed or provisional. Only items for which even a reasonable quantity cannot be determined are sent for human review. This design exposes uncertainty without stopping the entire takeoff merely because some information is incomplete.</w:t>
      </w:r>
    </w:p>
    <w:p w14:paraId="6418D5BD" w14:textId="77777777" w:rsidR="00BC025E" w:rsidRDefault="00000000">
      <w:pPr>
        <w:pStyle w:val="2"/>
      </w:pPr>
      <w:r>
        <w:rPr>
          <w:rFonts w:ascii="Arial" w:eastAsia="Arial" w:hAnsi="Arial"/>
          <w:b w:val="0"/>
        </w:rPr>
        <w:lastRenderedPageBreak/>
        <w:t>8. From Patch Chains to Cross-cutting Audits and Regression Testing</w:t>
      </w:r>
    </w:p>
    <w:p w14:paraId="27CC9718" w14:textId="77777777" w:rsidR="00BC025E" w:rsidRDefault="00000000">
      <w:pPr>
        <w:pStyle w:val="FirstParagraph"/>
      </w:pPr>
      <w:r>
        <w:rPr>
          <w:rFonts w:ascii="Arial" w:eastAsia="Arial" w:hAnsi="Arial"/>
        </w:rPr>
        <w:t>Rapid development over a short period pushed Planning Basic beyond PATCH 400, while the other applications also accumulated many revisions. During this process, regression problems became visible: fixing one area could break another area that had previously worked correctly.</w:t>
      </w:r>
    </w:p>
    <w:p w14:paraId="6ECD289E" w14:textId="77777777" w:rsidR="00BC025E" w:rsidRDefault="00000000">
      <w:pPr>
        <w:pStyle w:val="a0"/>
      </w:pPr>
      <w:r>
        <w:rPr>
          <w:rFonts w:ascii="Arial" w:eastAsia="Arial" w:hAnsi="Arial"/>
        </w:rPr>
        <w:t>The development policy therefore shifted from fixing isolated symptoms to auditing related processing paths across the system and performing regression tests that include previously working functions. Creating REBUILT versions and verifying as much as possible in code before asking the user to check the GUI only at important milestones also became part of this stabilization policy.</w:t>
      </w:r>
    </w:p>
    <w:p w14:paraId="4F9C1861" w14:textId="77777777" w:rsidR="00BC025E" w:rsidRDefault="00000000">
      <w:pPr>
        <w:pStyle w:val="2"/>
      </w:pPr>
      <w:r>
        <w:rPr>
          <w:rFonts w:ascii="Arial" w:eastAsia="Arial" w:hAnsi="Arial"/>
          <w:b w:val="0"/>
        </w:rPr>
        <w:t>9. Cost Provider Concept and Two-layer Cost Estimation</w:t>
      </w:r>
    </w:p>
    <w:p w14:paraId="32601921" w14:textId="77777777" w:rsidR="00BC025E" w:rsidRDefault="00000000">
      <w:pPr>
        <w:pStyle w:val="FirstParagraph"/>
      </w:pPr>
      <w:r>
        <w:rPr>
          <w:rFonts w:ascii="Arial" w:eastAsia="Arial" w:hAnsi="Arial"/>
        </w:rPr>
        <w:t>Hard-coding construction prices and regional conditions for every country inside AZRAS would make it difficult to follow regulatory changes, regional differences, data updates, and differences in commercial data contracts. The direction was therefore set toward a common Cost Provider interface with country-specific provider registration and selection.</w:t>
      </w:r>
    </w:p>
    <w:p w14:paraId="2BB0E34D" w14:textId="77777777" w:rsidR="00BC025E" w:rsidRDefault="00000000">
      <w:pPr>
        <w:pStyle w:val="a0"/>
      </w:pPr>
      <w:r>
        <w:rPr>
          <w:rFonts w:ascii="Arial" w:eastAsia="Arial" w:hAnsi="Arial"/>
        </w:rPr>
        <w:t>The important requirement is that calculations should not stop when no provider contract is available. 01_AZRAS_Planning is designed to support both (A) a Paid Cost Provider, which applies paid country-specific unit-price data to Module 1 quantities and supports detailed construction cost and estimate preparation from a full set of design drawings, and (B) the AZRAS Approximate Cost Provider, which estimates construction costs by country, construction method, and climate from plan, elevation, section, finish, and opening specifications without relying on paid sites, for use in business planning and 200-year evaluation.</w:t>
      </w:r>
    </w:p>
    <w:p w14:paraId="3C0CD26C" w14:textId="77777777" w:rsidR="00BC025E" w:rsidRDefault="00000000">
      <w:pPr>
        <w:pStyle w:val="a0"/>
      </w:pPr>
      <w:r>
        <w:rPr>
          <w:rFonts w:ascii="Arial" w:eastAsia="Arial" w:hAnsi="Arial"/>
        </w:rPr>
        <w:t>Module 1 serves as the quantity-and-evidence layer, keeping price judgment as separate as possible. Detailed quantities are retained even when the approximate-cost layer does not price them individually, so they can be reused later for detailed estimating with a Paid Provider.</w:t>
      </w:r>
    </w:p>
    <w:p w14:paraId="52F13DB8" w14:textId="77777777" w:rsidR="00BC025E" w:rsidRDefault="00000000">
      <w:pPr>
        <w:pStyle w:val="2"/>
      </w:pPr>
      <w:r>
        <w:rPr>
          <w:rFonts w:ascii="Arial" w:eastAsia="Arial" w:hAnsi="Arial"/>
          <w:b w:val="0"/>
        </w:rPr>
        <w:t>10. Reconfirming the Roles of 01_AZRAS_Planning and AZRAS Professional</w:t>
      </w:r>
    </w:p>
    <w:p w14:paraId="0BD99670" w14:textId="77777777" w:rsidR="00BC025E" w:rsidRDefault="00000000">
      <w:pPr>
        <w:pStyle w:val="FirstParagraph"/>
      </w:pPr>
      <w:r>
        <w:rPr>
          <w:rFonts w:ascii="Arial" w:eastAsia="Arial" w:hAnsi="Arial"/>
        </w:rPr>
        <w:t>The former "01_AZRAS_Planning_Basic" is intended eventually to drop "Basic" and become "01_AZRAS_Planning." Both the Paid Cost Provider and the AZRAS Approximate Cost Provider belong inside 01_AZRAS_Planning; the Paid Provider is not AZRAS Professional.</w:t>
      </w:r>
    </w:p>
    <w:p w14:paraId="356CEAF4" w14:textId="77777777" w:rsidR="00BC025E" w:rsidRDefault="00000000">
      <w:pPr>
        <w:pStyle w:val="a0"/>
      </w:pPr>
      <w:r>
        <w:rPr>
          <w:rFonts w:ascii="Arial" w:eastAsia="Arial" w:hAnsi="Arial"/>
        </w:rPr>
        <w:t>AZRAS Professional has a different role. It is intended to use building, environmental, energy, quantity, evaluation, and other data held by AZRAS to populate and organize items that AZRAS has already calculated with supporting evidence for country-specific environmental assessments, reviews, certifications, and application forms, thereby supporting preparation of submission documents. The detailed scope is to be confirmed with the developer before implementation.</w:t>
      </w:r>
    </w:p>
    <w:p w14:paraId="2E7E692F" w14:textId="77777777" w:rsidR="00BC025E" w:rsidRDefault="00000000">
      <w:pPr>
        <w:pStyle w:val="2"/>
      </w:pPr>
      <w:r>
        <w:rPr>
          <w:rFonts w:ascii="Arial" w:eastAsia="Arial" w:hAnsi="Arial"/>
          <w:b w:val="0"/>
        </w:rPr>
        <w:lastRenderedPageBreak/>
        <w:t>11. August 31, 2026 - From "AI Memory" to "The Project Holds the Authoritative Decisions"</w:t>
      </w:r>
    </w:p>
    <w:p w14:paraId="4296020C" w14:textId="77777777" w:rsidR="00BC025E" w:rsidRDefault="00000000">
      <w:pPr>
        <w:pStyle w:val="FirstParagraph"/>
      </w:pPr>
      <w:r>
        <w:rPr>
          <w:rFonts w:ascii="Arial" w:eastAsia="Arial" w:hAnsi="Arial"/>
        </w:rPr>
        <w:t>On August 31, 2026, extended PATCH development revealed a different kind of problem. The issue was not simply limited AI memory capacity. In a chain of overwrites - old decisions -&gt; interim specification changes -&gt; PATCH exceptions -&gt; new decisions -&gt; further revisions - both the human and the AI could lose track of which decision was currently the highest-level authoritative one.</w:t>
      </w:r>
    </w:p>
    <w:p w14:paraId="0FD95543" w14:textId="77777777" w:rsidR="00BC025E" w:rsidRDefault="00000000">
      <w:pPr>
        <w:pStyle w:val="a0"/>
      </w:pPr>
      <w:r>
        <w:rPr>
          <w:rFonts w:ascii="Arial" w:eastAsia="Arial" w:hAnsi="Arial"/>
        </w:rPr>
        <w:t>In practice, local judgments made in recent PATCHes nearly took precedence over earlier higher-level design decisions concerning the roles of Cost Provider and Professional and the pricing policy for detailed quantities. This experience showed that the development method itself had to change so that important design decisions would not depend solely on conversational AI memory.</w:t>
      </w:r>
    </w:p>
    <w:p w14:paraId="1FA8A915" w14:textId="77777777" w:rsidR="00BC025E" w:rsidRDefault="00000000">
      <w:pPr>
        <w:pStyle w:val="a0"/>
      </w:pPr>
      <w:r>
        <w:rPr>
          <w:rFonts w:ascii="Arial" w:eastAsia="Arial" w:hAnsi="Arial"/>
        </w:rPr>
        <w:t>AZRAS therefore introduced an authoritative specification file, the "AZRAS DEVELOPMENT CONSTITUTION," in which the project itself retains the current highest-level design policies. This is not a PATCH history. It is a compact document for retaining the currently valid authoritative decisions, product boundaries, change approvals, separation of responsibility between quantities and prices, PATCH rules, audit rules, and related governance.</w:t>
      </w:r>
    </w:p>
    <w:p w14:paraId="246B57E2" w14:textId="77777777" w:rsidR="00BC025E" w:rsidRDefault="00000000">
      <w:pPr>
        <w:pStyle w:val="a0"/>
      </w:pPr>
      <w:r>
        <w:rPr>
          <w:rFonts w:ascii="Arial" w:eastAsia="Arial" w:hAnsi="Arial"/>
        </w:rPr>
        <w:t>From that point forward, the authoritative specification is checked before development, audits, PATCH work, refactoring, or specification changes begin. Time-consuming work, large-scale preparation of individual data, and changes to basic methods, data structures, pricing methods, or product boundaries are not started unilaterally by AI. Instead, options, workload, advantages and disadvantages, and impacts on existing code and data are presented for the developer's decision. If a change of method becomes necessary during development, the scope of remaining legacy logic or unnecessary data, migration and deletion requirements, and regression-audit scope are identified before the change is made.</w:t>
      </w:r>
    </w:p>
    <w:p w14:paraId="451736FE" w14:textId="77777777" w:rsidR="00BC025E" w:rsidRDefault="00000000">
      <w:pPr>
        <w:pStyle w:val="2"/>
      </w:pPr>
      <w:r>
        <w:rPr>
          <w:rFonts w:ascii="Arial" w:eastAsia="Arial" w:hAnsi="Arial"/>
          <w:b w:val="0"/>
        </w:rPr>
        <w:t>12. Division of Roles between the Development Constitution and Regression Testing</w:t>
      </w:r>
    </w:p>
    <w:p w14:paraId="26A58977" w14:textId="77777777" w:rsidR="00BC025E" w:rsidRDefault="00000000">
      <w:pPr>
        <w:pStyle w:val="FirstParagraph"/>
      </w:pPr>
      <w:r>
        <w:rPr>
          <w:rFonts w:ascii="Arial" w:eastAsia="Arial" w:hAnsi="Arial"/>
        </w:rPr>
        <w:t>The AZRAS DEVELOPMENT CONSTITUTION and regression testing are not the same thing. The Development Constitution protects the answer to "Which decision is currently authoritative?" Regression testing protects the answer to "Did this change break a function that previously worked correctly?"</w:t>
      </w:r>
    </w:p>
    <w:p w14:paraId="37974FE1" w14:textId="77777777" w:rsidR="00BC025E" w:rsidRDefault="00000000">
      <w:pPr>
        <w:pStyle w:val="a0"/>
      </w:pPr>
      <w:r>
        <w:rPr>
          <w:rFonts w:ascii="Arial" w:eastAsia="Arial" w:hAnsi="Arial"/>
        </w:rPr>
        <w:t>Using the two together separately addresses "misidentifying the governing specification" and "breaking existing functions while implementing what was believed to be the correct specification." For long-term AZRAS development, combining project-side governance information with mechanical verification, rather than relying only on improvements in AI capability, became an important design principle.</w:t>
      </w:r>
    </w:p>
    <w:p w14:paraId="42E046AD" w14:textId="77777777" w:rsidR="00BC025E" w:rsidRDefault="00000000">
      <w:pPr>
        <w:pStyle w:val="2"/>
      </w:pPr>
      <w:r>
        <w:rPr>
          <w:rFonts w:ascii="Arial" w:eastAsia="Arial" w:hAnsi="Arial"/>
          <w:b w:val="0"/>
        </w:rPr>
        <w:t>13. Free Software Release and AI-repairable Software</w:t>
      </w:r>
    </w:p>
    <w:p w14:paraId="31042FD1" w14:textId="77777777" w:rsidR="00BC025E" w:rsidRDefault="00000000">
      <w:pPr>
        <w:pStyle w:val="FirstParagraph"/>
      </w:pPr>
      <w:r>
        <w:rPr>
          <w:rFonts w:ascii="Arial" w:eastAsia="Arial" w:hAnsi="Arial"/>
        </w:rPr>
        <w:t>AZRAS is intended to be released as free software so that users can ask the AI systems they use to repair defects or add extensions and can evolve the software in their own environments. This concept extends Any AI Architecture and avoids making maintenance depend on one developer or one AI.</w:t>
      </w:r>
    </w:p>
    <w:p w14:paraId="08AB3E05" w14:textId="77777777" w:rsidR="00BC025E" w:rsidRDefault="00000000">
      <w:pPr>
        <w:pStyle w:val="a0"/>
      </w:pPr>
      <w:r>
        <w:rPr>
          <w:rFonts w:ascii="Arial" w:eastAsia="Arial" w:hAnsi="Arial"/>
        </w:rPr>
        <w:lastRenderedPageBreak/>
        <w:t>At the same time, if different users apply different modifications through different AI systems, software carrying the same AZRAS name may diverge in behavior. In particular, unverified PATCHes to core logic such as estimating, structural quantities, environmental evaluation, and business calculations could be used in real-world decisions. Project JSON compatibility could also be broken.</w:t>
      </w:r>
    </w:p>
    <w:p w14:paraId="2C76F82B" w14:textId="77777777" w:rsidR="00BC025E" w:rsidRDefault="00000000">
      <w:pPr>
        <w:pStyle w:val="a0"/>
      </w:pPr>
      <w:r>
        <w:rPr>
          <w:rFonts w:ascii="Arial" w:eastAsia="Arial" w:hAnsi="Arial"/>
        </w:rPr>
        <w:t>For the public release, pre-release audit items therefore include attaching the Development Constitution and regression-testing policy in a form AI can read, distinguishing minor UI or language changes from core calculation changes, defining verification methods for core changes, maintaining Project JSON compatibility, and establishing a way for defects found and repaired by users to be returned to the original development project. The important objective is not for "AI to remember everything," but to create a state in which any AI working on AZRAS reads the same authoritative policy before beginning work.</w:t>
      </w:r>
    </w:p>
    <w:p w14:paraId="6B1B65DB" w14:textId="77777777" w:rsidR="00BC025E" w:rsidRDefault="00000000">
      <w:pPr>
        <w:pStyle w:val="2"/>
      </w:pPr>
      <w:r>
        <w:rPr>
          <w:rFonts w:ascii="Arial" w:eastAsia="Arial" w:hAnsi="Arial"/>
          <w:b w:val="0"/>
        </w:rPr>
        <w:t>14. Current AZRAS Product Structure and the Next Stage</w:t>
      </w:r>
    </w:p>
    <w:p w14:paraId="151F7367" w14:textId="77777777" w:rsidR="00BC025E" w:rsidRDefault="00000000">
      <w:pPr>
        <w:pStyle w:val="FirstParagraph"/>
      </w:pPr>
      <w:r>
        <w:rPr>
          <w:rFonts w:ascii="Arial" w:eastAsia="Arial" w:hAnsi="Arial"/>
        </w:rPr>
        <w:t>AZRAS evolved from software for comparing specific construction methods into a platform that can integrate long-term evaluation of building drawings, quantities, environment, cost, disasters, and business feasibility while connecting to arbitrary AI systems.</w:t>
      </w:r>
    </w:p>
    <w:p w14:paraId="729AFF2C" w14:textId="77777777" w:rsidR="00BC025E" w:rsidRDefault="00000000">
      <w:pPr>
        <w:pStyle w:val="a0"/>
      </w:pPr>
      <w:r>
        <w:rPr>
          <w:rFonts w:ascii="Arial" w:eastAsia="Arial" w:hAnsi="Arial"/>
        </w:rPr>
        <w:t>As of the end of August 2026, the important next stage was not unlimited feature expansion but stabilization for public release. Before release, product structure, the Development Constitution, regression tests, Project JSON compatibility, Cost Provider boundaries, verification of core calculations, and safety rules for user-side AI modifications needed to be audited together.</w:t>
      </w:r>
    </w:p>
    <w:p w14:paraId="3F3C2323" w14:textId="77777777" w:rsidR="00BC025E" w:rsidRDefault="00000000">
      <w:pPr>
        <w:pStyle w:val="3"/>
      </w:pPr>
      <w:r>
        <w:rPr>
          <w:rFonts w:ascii="Arial" w:eastAsia="Arial" w:hAnsi="Arial"/>
          <w:b w:val="0"/>
        </w:rPr>
        <w:t>Current Product Structure</w:t>
      </w:r>
    </w:p>
    <w:p w14:paraId="011CBBC7" w14:textId="77777777" w:rsidR="00BC025E" w:rsidRDefault="00000000">
      <w:pPr>
        <w:pStyle w:val="FirstParagraph"/>
      </w:pPr>
      <w:r>
        <w:rPr>
          <w:rFonts w:ascii="Arial" w:eastAsia="Arial" w:hAnsi="Arial"/>
        </w:rPr>
        <w:t>Following the September 1, 2026 reorganization of product numbering and responsibility boundaries, Feasibility was removed as an independent product, and the responsibilities of Evaluation and Compare were clearly separated. Older numbers and product names appearing in earlier sections are retained as historical records of the development state at that time.</w:t>
      </w:r>
    </w:p>
    <w:tbl>
      <w:tblPr>
        <w:tblStyle w:val="Table"/>
        <w:tblW w:w="5000" w:type="pct"/>
        <w:tblLayout w:type="fixed"/>
        <w:tblLook w:val="0020" w:firstRow="1" w:lastRow="0" w:firstColumn="0" w:lastColumn="0" w:noHBand="0" w:noVBand="0"/>
      </w:tblPr>
      <w:tblGrid>
        <w:gridCol w:w="3018"/>
        <w:gridCol w:w="3018"/>
        <w:gridCol w:w="3018"/>
      </w:tblGrid>
      <w:tr w:rsidR="00BC025E" w14:paraId="54F5966D" w14:textId="77777777" w:rsidTr="00BC025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5C6E66" w14:textId="77777777" w:rsidR="00BC025E" w:rsidRDefault="00000000">
            <w:r>
              <w:rPr>
                <w:rFonts w:ascii="Arial" w:eastAsia="Arial" w:hAnsi="Arial"/>
                <w:b/>
              </w:rPr>
              <w:t>No.</w:t>
            </w:r>
          </w:p>
        </w:tc>
        <w:tc>
          <w:tcPr>
            <w:tcW w:w="2640" w:type="dxa"/>
          </w:tcPr>
          <w:p w14:paraId="6304263B" w14:textId="77777777" w:rsidR="00BC025E" w:rsidRDefault="00000000">
            <w:r>
              <w:rPr>
                <w:rFonts w:ascii="Arial" w:eastAsia="Arial" w:hAnsi="Arial"/>
                <w:b/>
              </w:rPr>
              <w:t>Application</w:t>
            </w:r>
          </w:p>
        </w:tc>
        <w:tc>
          <w:tcPr>
            <w:tcW w:w="2640" w:type="dxa"/>
          </w:tcPr>
          <w:p w14:paraId="313B8F4F" w14:textId="77777777" w:rsidR="00BC025E" w:rsidRDefault="00000000">
            <w:r>
              <w:rPr>
                <w:rFonts w:ascii="Arial" w:eastAsia="Arial" w:hAnsi="Arial"/>
                <w:b/>
              </w:rPr>
              <w:t>Current role / direction</w:t>
            </w:r>
          </w:p>
        </w:tc>
      </w:tr>
      <w:tr w:rsidR="00BC025E" w14:paraId="6FFDDE87" w14:textId="77777777">
        <w:tc>
          <w:tcPr>
            <w:tcW w:w="2640" w:type="dxa"/>
          </w:tcPr>
          <w:p w14:paraId="6C98AD6F" w14:textId="77777777" w:rsidR="00BC025E" w:rsidRDefault="00000000">
            <w:r>
              <w:rPr>
                <w:rFonts w:ascii="Arial" w:eastAsia="Arial" w:hAnsi="Arial"/>
              </w:rPr>
              <w:t>00</w:t>
            </w:r>
          </w:p>
        </w:tc>
        <w:tc>
          <w:tcPr>
            <w:tcW w:w="2640" w:type="dxa"/>
          </w:tcPr>
          <w:p w14:paraId="3842735C" w14:textId="77777777" w:rsidR="00BC025E" w:rsidRDefault="00000000">
            <w:r>
              <w:rPr>
                <w:rFonts w:ascii="Arial" w:eastAsia="Arial" w:hAnsi="Arial"/>
              </w:rPr>
              <w:t>AZRAS Installer</w:t>
            </w:r>
          </w:p>
        </w:tc>
        <w:tc>
          <w:tcPr>
            <w:tcW w:w="2640" w:type="dxa"/>
          </w:tcPr>
          <w:p w14:paraId="685069F6" w14:textId="77777777" w:rsidR="00BC025E" w:rsidRDefault="00000000">
            <w:r>
              <w:rPr>
                <w:rFonts w:ascii="Arial" w:eastAsia="Arial" w:hAnsi="Arial"/>
              </w:rPr>
              <w:t>Installation, shared environment, and external-tool setup</w:t>
            </w:r>
          </w:p>
        </w:tc>
      </w:tr>
      <w:tr w:rsidR="00BC025E" w14:paraId="0711C72C" w14:textId="77777777">
        <w:tc>
          <w:tcPr>
            <w:tcW w:w="2640" w:type="dxa"/>
          </w:tcPr>
          <w:p w14:paraId="794ECAEA" w14:textId="77777777" w:rsidR="00BC025E" w:rsidRDefault="00000000">
            <w:r>
              <w:rPr>
                <w:rFonts w:ascii="Arial" w:eastAsia="Arial" w:hAnsi="Arial"/>
              </w:rPr>
              <w:t>01</w:t>
            </w:r>
          </w:p>
        </w:tc>
        <w:tc>
          <w:tcPr>
            <w:tcW w:w="2640" w:type="dxa"/>
          </w:tcPr>
          <w:p w14:paraId="5ECB662C" w14:textId="77777777" w:rsidR="00BC025E" w:rsidRDefault="00000000">
            <w:r>
              <w:rPr>
                <w:rFonts w:ascii="Arial" w:eastAsia="Arial" w:hAnsi="Arial"/>
              </w:rPr>
              <w:t>AZRAS Planning (currently Planning Basic)</w:t>
            </w:r>
          </w:p>
        </w:tc>
        <w:tc>
          <w:tcPr>
            <w:tcW w:w="2640" w:type="dxa"/>
          </w:tcPr>
          <w:p w14:paraId="3C1B86DE" w14:textId="77777777" w:rsidR="00BC025E" w:rsidRDefault="00000000">
            <w:r>
              <w:rPr>
                <w:rFonts w:ascii="Arial" w:eastAsia="Arial" w:hAnsi="Arial"/>
              </w:rPr>
              <w:t>Planning, drawing analysis, quantities, and Cost Provider integration</w:t>
            </w:r>
          </w:p>
        </w:tc>
      </w:tr>
      <w:tr w:rsidR="00BC025E" w14:paraId="3EA6D0A0" w14:textId="77777777">
        <w:tc>
          <w:tcPr>
            <w:tcW w:w="2640" w:type="dxa"/>
          </w:tcPr>
          <w:p w14:paraId="50129243" w14:textId="77777777" w:rsidR="00BC025E" w:rsidRDefault="00000000">
            <w:r>
              <w:rPr>
                <w:rFonts w:ascii="Arial" w:eastAsia="Arial" w:hAnsi="Arial"/>
              </w:rPr>
              <w:t>02</w:t>
            </w:r>
          </w:p>
        </w:tc>
        <w:tc>
          <w:tcPr>
            <w:tcW w:w="2640" w:type="dxa"/>
          </w:tcPr>
          <w:p w14:paraId="738205C7" w14:textId="77777777" w:rsidR="00BC025E" w:rsidRDefault="00000000">
            <w:r>
              <w:rPr>
                <w:rFonts w:ascii="Arial" w:eastAsia="Arial" w:hAnsi="Arial"/>
              </w:rPr>
              <w:t>AZRAS Evaluation</w:t>
            </w:r>
          </w:p>
        </w:tc>
        <w:tc>
          <w:tcPr>
            <w:tcW w:w="2640" w:type="dxa"/>
          </w:tcPr>
          <w:p w14:paraId="5E24A3A5" w14:textId="77777777" w:rsidR="00BC025E" w:rsidRDefault="00000000">
            <w:r>
              <w:rPr>
                <w:rFonts w:ascii="Arial" w:eastAsia="Arial" w:hAnsi="Arial"/>
              </w:rPr>
              <w:t>Calculates environmental impact, renewal, long-term cost, and 200-year evaluation and saves results to Project JSON</w:t>
            </w:r>
          </w:p>
        </w:tc>
      </w:tr>
      <w:tr w:rsidR="00BC025E" w14:paraId="6417F2E9" w14:textId="77777777">
        <w:tc>
          <w:tcPr>
            <w:tcW w:w="2640" w:type="dxa"/>
          </w:tcPr>
          <w:p w14:paraId="209E623E" w14:textId="77777777" w:rsidR="00BC025E" w:rsidRDefault="00000000">
            <w:r>
              <w:rPr>
                <w:rFonts w:ascii="Arial" w:eastAsia="Arial" w:hAnsi="Arial"/>
              </w:rPr>
              <w:t>03</w:t>
            </w:r>
          </w:p>
        </w:tc>
        <w:tc>
          <w:tcPr>
            <w:tcW w:w="2640" w:type="dxa"/>
          </w:tcPr>
          <w:p w14:paraId="772BAF60" w14:textId="77777777" w:rsidR="00BC025E" w:rsidRDefault="00000000">
            <w:r>
              <w:rPr>
                <w:rFonts w:ascii="Arial" w:eastAsia="Arial" w:hAnsi="Arial"/>
              </w:rPr>
              <w:t>AZRAS Compare</w:t>
            </w:r>
          </w:p>
        </w:tc>
        <w:tc>
          <w:tcPr>
            <w:tcW w:w="2640" w:type="dxa"/>
          </w:tcPr>
          <w:p w14:paraId="61F3E152" w14:textId="77777777" w:rsidR="00BC025E" w:rsidRDefault="00000000">
            <w:r>
              <w:rPr>
                <w:rFonts w:ascii="Arial" w:eastAsia="Arial" w:hAnsi="Arial"/>
              </w:rPr>
              <w:t xml:space="preserve">Reads evaluation results already saved by 02 and compares multiple Projects; does not fill missing values </w:t>
            </w:r>
            <w:r>
              <w:rPr>
                <w:rFonts w:ascii="Arial" w:eastAsia="Arial" w:hAnsi="Arial"/>
              </w:rPr>
              <w:lastRenderedPageBreak/>
              <w:t>with zero or independent estimates</w:t>
            </w:r>
          </w:p>
        </w:tc>
      </w:tr>
      <w:tr w:rsidR="00BC025E" w14:paraId="4120BF2D" w14:textId="77777777">
        <w:tc>
          <w:tcPr>
            <w:tcW w:w="2640" w:type="dxa"/>
          </w:tcPr>
          <w:p w14:paraId="05CEB29C" w14:textId="77777777" w:rsidR="00BC025E" w:rsidRDefault="00000000">
            <w:r>
              <w:rPr>
                <w:rFonts w:ascii="Arial" w:eastAsia="Arial" w:hAnsi="Arial"/>
              </w:rPr>
              <w:lastRenderedPageBreak/>
              <w:t>04</w:t>
            </w:r>
          </w:p>
        </w:tc>
        <w:tc>
          <w:tcPr>
            <w:tcW w:w="2640" w:type="dxa"/>
          </w:tcPr>
          <w:p w14:paraId="65A6B59B" w14:textId="77777777" w:rsidR="00BC025E" w:rsidRDefault="00000000">
            <w:r>
              <w:rPr>
                <w:rFonts w:ascii="Arial" w:eastAsia="Arial" w:hAnsi="Arial"/>
              </w:rPr>
              <w:t>AZRAS Professional</w:t>
            </w:r>
          </w:p>
        </w:tc>
        <w:tc>
          <w:tcPr>
            <w:tcW w:w="2640" w:type="dxa"/>
          </w:tcPr>
          <w:p w14:paraId="4791D838" w14:textId="77777777" w:rsidR="00BC025E" w:rsidRDefault="00000000">
            <w:r>
              <w:rPr>
                <w:rFonts w:ascii="Arial" w:eastAsia="Arial" w:hAnsi="Arial"/>
              </w:rPr>
              <w:t>Support for country-specific review, certification, and application forms</w:t>
            </w:r>
          </w:p>
        </w:tc>
      </w:tr>
      <w:tr w:rsidR="00BC025E" w14:paraId="561AE859" w14:textId="77777777">
        <w:tc>
          <w:tcPr>
            <w:tcW w:w="2640" w:type="dxa"/>
          </w:tcPr>
          <w:p w14:paraId="2052EB3B" w14:textId="77777777" w:rsidR="00BC025E" w:rsidRDefault="00000000">
            <w:r>
              <w:rPr>
                <w:rFonts w:ascii="Arial" w:eastAsia="Arial" w:hAnsi="Arial"/>
              </w:rPr>
              <w:t>05</w:t>
            </w:r>
          </w:p>
        </w:tc>
        <w:tc>
          <w:tcPr>
            <w:tcW w:w="2640" w:type="dxa"/>
          </w:tcPr>
          <w:p w14:paraId="2816EDA8" w14:textId="77777777" w:rsidR="00BC025E" w:rsidRDefault="00000000">
            <w:r>
              <w:rPr>
                <w:rFonts w:ascii="Arial" w:eastAsia="Arial" w:hAnsi="Arial"/>
              </w:rPr>
              <w:t>AZRAS Disaster</w:t>
            </w:r>
          </w:p>
        </w:tc>
        <w:tc>
          <w:tcPr>
            <w:tcW w:w="2640" w:type="dxa"/>
          </w:tcPr>
          <w:p w14:paraId="12A81ADA" w14:textId="77777777" w:rsidR="00BC025E" w:rsidRDefault="00000000">
            <w:r>
              <w:rPr>
                <w:rFonts w:ascii="Arial" w:eastAsia="Arial" w:hAnsi="Arial"/>
              </w:rPr>
              <w:t>Disaster, hazard, and recovery evaluation</w:t>
            </w:r>
          </w:p>
        </w:tc>
      </w:tr>
      <w:tr w:rsidR="00BC025E" w14:paraId="7037B7B8" w14:textId="77777777">
        <w:tc>
          <w:tcPr>
            <w:tcW w:w="2640" w:type="dxa"/>
          </w:tcPr>
          <w:p w14:paraId="61507F4A" w14:textId="77777777" w:rsidR="00BC025E" w:rsidRDefault="00000000">
            <w:r>
              <w:rPr>
                <w:rFonts w:ascii="Arial" w:eastAsia="Arial" w:hAnsi="Arial"/>
              </w:rPr>
              <w:t>06</w:t>
            </w:r>
          </w:p>
        </w:tc>
        <w:tc>
          <w:tcPr>
            <w:tcW w:w="2640" w:type="dxa"/>
          </w:tcPr>
          <w:p w14:paraId="6830155E" w14:textId="77777777" w:rsidR="00BC025E" w:rsidRDefault="00000000">
            <w:r>
              <w:rPr>
                <w:rFonts w:ascii="Arial" w:eastAsia="Arial" w:hAnsi="Arial"/>
              </w:rPr>
              <w:t>AZRAS Twin</w:t>
            </w:r>
          </w:p>
        </w:tc>
        <w:tc>
          <w:tcPr>
            <w:tcW w:w="2640" w:type="dxa"/>
          </w:tcPr>
          <w:p w14:paraId="17B0AF09" w14:textId="77777777" w:rsidR="00BC025E" w:rsidRDefault="00000000">
            <w:r>
              <w:rPr>
                <w:rFonts w:ascii="Arial" w:eastAsia="Arial" w:hAnsi="Arial"/>
              </w:rPr>
              <w:t>Digital-twin functions</w:t>
            </w:r>
          </w:p>
        </w:tc>
      </w:tr>
    </w:tbl>
    <w:p w14:paraId="24900AAD" w14:textId="77777777" w:rsidR="00BC025E" w:rsidRDefault="00000000">
      <w:pPr>
        <w:pStyle w:val="3"/>
      </w:pPr>
      <w:r>
        <w:rPr>
          <w:rFonts w:ascii="Arial" w:eastAsia="Arial" w:hAnsi="Arial"/>
          <w:b w:val="0"/>
        </w:rPr>
        <w:t>Design Principles Derived from Development</w:t>
      </w:r>
    </w:p>
    <w:tbl>
      <w:tblPr>
        <w:tblStyle w:val="Table"/>
        <w:tblW w:w="5000" w:type="pct"/>
        <w:tblLayout w:type="fixed"/>
        <w:tblLook w:val="0020" w:firstRow="1" w:lastRow="0" w:firstColumn="0" w:lastColumn="0" w:noHBand="0" w:noVBand="0"/>
      </w:tblPr>
      <w:tblGrid>
        <w:gridCol w:w="3018"/>
        <w:gridCol w:w="3018"/>
        <w:gridCol w:w="3018"/>
      </w:tblGrid>
      <w:tr w:rsidR="00BC025E" w14:paraId="33695F4C" w14:textId="77777777" w:rsidTr="00BC025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4F65A00" w14:textId="77777777" w:rsidR="00BC025E" w:rsidRDefault="00000000">
            <w:r>
              <w:rPr>
                <w:rFonts w:ascii="Arial" w:eastAsia="Arial" w:hAnsi="Arial"/>
                <w:b/>
              </w:rPr>
              <w:t>Attempt / problem</w:t>
            </w:r>
          </w:p>
        </w:tc>
        <w:tc>
          <w:tcPr>
            <w:tcW w:w="2640" w:type="dxa"/>
          </w:tcPr>
          <w:p w14:paraId="39E792F5" w14:textId="77777777" w:rsidR="00BC025E" w:rsidRDefault="00000000">
            <w:r>
              <w:rPr>
                <w:rFonts w:ascii="Arial" w:eastAsia="Arial" w:hAnsi="Arial"/>
                <w:b/>
              </w:rPr>
              <w:t>Lesson learned</w:t>
            </w:r>
          </w:p>
        </w:tc>
        <w:tc>
          <w:tcPr>
            <w:tcW w:w="2640" w:type="dxa"/>
          </w:tcPr>
          <w:p w14:paraId="03FD9C7F" w14:textId="77777777" w:rsidR="00BC025E" w:rsidRDefault="00000000">
            <w:r>
              <w:rPr>
                <w:rFonts w:ascii="Arial" w:eastAsia="Arial" w:hAnsi="Arial"/>
                <w:b/>
              </w:rPr>
              <w:t>Current approach</w:t>
            </w:r>
          </w:p>
        </w:tc>
      </w:tr>
      <w:tr w:rsidR="00BC025E" w14:paraId="1C7A6EA9" w14:textId="77777777">
        <w:tc>
          <w:tcPr>
            <w:tcW w:w="2640" w:type="dxa"/>
          </w:tcPr>
          <w:p w14:paraId="6C79B20F" w14:textId="77777777" w:rsidR="00BC025E" w:rsidRDefault="00000000">
            <w:r>
              <w:rPr>
                <w:rFonts w:ascii="Arial" w:eastAsia="Arial" w:hAnsi="Arial"/>
              </w:rPr>
              <w:t>PDF color-coding</w:t>
            </w:r>
          </w:p>
        </w:tc>
        <w:tc>
          <w:tcPr>
            <w:tcW w:w="2640" w:type="dxa"/>
          </w:tcPr>
          <w:p w14:paraId="13B0E648" w14:textId="77777777" w:rsidR="00BC025E" w:rsidRDefault="00000000">
            <w:r>
              <w:rPr>
                <w:rFonts w:ascii="Arial" w:eastAsia="Arial" w:hAnsi="Arial"/>
              </w:rPr>
              <w:t>Limited display stability</w:t>
            </w:r>
          </w:p>
        </w:tc>
        <w:tc>
          <w:tcPr>
            <w:tcW w:w="2640" w:type="dxa"/>
          </w:tcPr>
          <w:p w14:paraId="047F2350" w14:textId="77777777" w:rsidR="00BC025E" w:rsidRDefault="00000000">
            <w:r>
              <w:rPr>
                <w:rFonts w:ascii="Arial" w:eastAsia="Arial" w:hAnsi="Arial"/>
              </w:rPr>
              <w:t>Evidence / Source / Confidence</w:t>
            </w:r>
          </w:p>
        </w:tc>
      </w:tr>
      <w:tr w:rsidR="00BC025E" w14:paraId="3BDB487E" w14:textId="77777777">
        <w:tc>
          <w:tcPr>
            <w:tcW w:w="2640" w:type="dxa"/>
          </w:tcPr>
          <w:p w14:paraId="1FF3FE85" w14:textId="77777777" w:rsidR="00BC025E" w:rsidRDefault="00000000">
            <w:r>
              <w:rPr>
                <w:rFonts w:ascii="Arial" w:eastAsia="Arial" w:hAnsi="Arial"/>
              </w:rPr>
              <w:t>Universal CAD analysis</w:t>
            </w:r>
          </w:p>
        </w:tc>
        <w:tc>
          <w:tcPr>
            <w:tcW w:w="2640" w:type="dxa"/>
          </w:tcPr>
          <w:p w14:paraId="6E7805D6" w14:textId="77777777" w:rsidR="00BC025E" w:rsidRDefault="00000000">
            <w:r>
              <w:rPr>
                <w:rFonts w:ascii="Arial" w:eastAsia="Arial" w:hAnsi="Arial"/>
              </w:rPr>
              <w:t>Non-standard nature of real drawings</w:t>
            </w:r>
          </w:p>
        </w:tc>
        <w:tc>
          <w:tcPr>
            <w:tcW w:w="2640" w:type="dxa"/>
          </w:tcPr>
          <w:p w14:paraId="0D84D490" w14:textId="77777777" w:rsidR="00BC025E" w:rsidRDefault="00000000">
            <w:r>
              <w:rPr>
                <w:rFonts w:ascii="Arial" w:eastAsia="Arial" w:hAnsi="Arial"/>
              </w:rPr>
              <w:t>External AI / Interpreter + Common Exchange</w:t>
            </w:r>
          </w:p>
        </w:tc>
      </w:tr>
      <w:tr w:rsidR="00BC025E" w14:paraId="64767060" w14:textId="77777777">
        <w:tc>
          <w:tcPr>
            <w:tcW w:w="2640" w:type="dxa"/>
          </w:tcPr>
          <w:p w14:paraId="6678DBBE" w14:textId="77777777" w:rsidR="00BC025E" w:rsidRDefault="00000000">
            <w:r>
              <w:rPr>
                <w:rFonts w:ascii="Arial" w:eastAsia="Arial" w:hAnsi="Arial"/>
              </w:rPr>
              <w:t>Monolithic integrated platform</w:t>
            </w:r>
          </w:p>
        </w:tc>
        <w:tc>
          <w:tcPr>
            <w:tcW w:w="2640" w:type="dxa"/>
          </w:tcPr>
          <w:p w14:paraId="4592FD49" w14:textId="77777777" w:rsidR="00BC025E" w:rsidRDefault="00000000">
            <w:r>
              <w:rPr>
                <w:rFonts w:ascii="Arial" w:eastAsia="Arial" w:hAnsi="Arial"/>
              </w:rPr>
              <w:t>Dependencies and regression risk</w:t>
            </w:r>
          </w:p>
        </w:tc>
        <w:tc>
          <w:tcPr>
            <w:tcW w:w="2640" w:type="dxa"/>
          </w:tcPr>
          <w:p w14:paraId="330BBDA0" w14:textId="77777777" w:rsidR="00BC025E" w:rsidRDefault="00000000">
            <w:r>
              <w:rPr>
                <w:rFonts w:ascii="Arial" w:eastAsia="Arial" w:hAnsi="Arial"/>
              </w:rPr>
              <w:t>Independent Apps + Project JSON</w:t>
            </w:r>
          </w:p>
        </w:tc>
      </w:tr>
      <w:tr w:rsidR="00BC025E" w14:paraId="3A2A5F5C" w14:textId="77777777">
        <w:tc>
          <w:tcPr>
            <w:tcW w:w="2640" w:type="dxa"/>
          </w:tcPr>
          <w:p w14:paraId="2EC1F721" w14:textId="77777777" w:rsidR="00BC025E" w:rsidRDefault="00000000">
            <w:r>
              <w:rPr>
                <w:rFonts w:ascii="Arial" w:eastAsia="Arial" w:hAnsi="Arial"/>
              </w:rPr>
              <w:t>Hard-coded global prices, etc.</w:t>
            </w:r>
          </w:p>
        </w:tc>
        <w:tc>
          <w:tcPr>
            <w:tcW w:w="2640" w:type="dxa"/>
          </w:tcPr>
          <w:p w14:paraId="6232882D" w14:textId="77777777" w:rsidR="00BC025E" w:rsidRDefault="00000000">
            <w:r>
              <w:rPr>
                <w:rFonts w:ascii="Arial" w:eastAsia="Arial" w:hAnsi="Arial"/>
              </w:rPr>
              <w:t>Regional differences and update burden</w:t>
            </w:r>
          </w:p>
        </w:tc>
        <w:tc>
          <w:tcPr>
            <w:tcW w:w="2640" w:type="dxa"/>
          </w:tcPr>
          <w:p w14:paraId="479F025C" w14:textId="77777777" w:rsidR="00BC025E" w:rsidRDefault="00000000">
            <w:r>
              <w:rPr>
                <w:rFonts w:ascii="Arial" w:eastAsia="Arial" w:hAnsi="Arial"/>
              </w:rPr>
              <w:t>Cost Provider + approximate-cost fallback</w:t>
            </w:r>
          </w:p>
        </w:tc>
      </w:tr>
      <w:tr w:rsidR="00BC025E" w14:paraId="73E7F5BA" w14:textId="77777777">
        <w:tc>
          <w:tcPr>
            <w:tcW w:w="2640" w:type="dxa"/>
          </w:tcPr>
          <w:p w14:paraId="06992165" w14:textId="77777777" w:rsidR="00BC025E" w:rsidRDefault="00000000">
            <w:r>
              <w:rPr>
                <w:rFonts w:ascii="Arial" w:eastAsia="Arial" w:hAnsi="Arial"/>
              </w:rPr>
              <w:t>Dependence on a single AI</w:t>
            </w:r>
          </w:p>
        </w:tc>
        <w:tc>
          <w:tcPr>
            <w:tcW w:w="2640" w:type="dxa"/>
          </w:tcPr>
          <w:p w14:paraId="3BA2D26B" w14:textId="77777777" w:rsidR="00BC025E" w:rsidRDefault="00000000">
            <w:r>
              <w:rPr>
                <w:rFonts w:ascii="Arial" w:eastAsia="Arial" w:hAnsi="Arial"/>
              </w:rPr>
              <w:t>Model differences and future changes</w:t>
            </w:r>
          </w:p>
        </w:tc>
        <w:tc>
          <w:tcPr>
            <w:tcW w:w="2640" w:type="dxa"/>
          </w:tcPr>
          <w:p w14:paraId="706F2B95" w14:textId="77777777" w:rsidR="00BC025E" w:rsidRDefault="00000000">
            <w:r>
              <w:rPr>
                <w:rFonts w:ascii="Arial" w:eastAsia="Arial" w:hAnsi="Arial"/>
              </w:rPr>
              <w:t>Any AI Architecture</w:t>
            </w:r>
          </w:p>
        </w:tc>
      </w:tr>
      <w:tr w:rsidR="00BC025E" w14:paraId="6666CFFE" w14:textId="77777777">
        <w:tc>
          <w:tcPr>
            <w:tcW w:w="2640" w:type="dxa"/>
          </w:tcPr>
          <w:p w14:paraId="24CAD17D" w14:textId="77777777" w:rsidR="00BC025E" w:rsidRDefault="00000000">
            <w:r>
              <w:rPr>
                <w:rFonts w:ascii="Arial" w:eastAsia="Arial" w:hAnsi="Arial"/>
              </w:rPr>
              <w:t>Simple majority vote among multiple AIs</w:t>
            </w:r>
          </w:p>
        </w:tc>
        <w:tc>
          <w:tcPr>
            <w:tcW w:w="2640" w:type="dxa"/>
          </w:tcPr>
          <w:p w14:paraId="13D37810" w14:textId="77777777" w:rsidR="00BC025E" w:rsidRDefault="00000000">
            <w:r>
              <w:rPr>
                <w:rFonts w:ascii="Arial" w:eastAsia="Arial" w:hAnsi="Arial"/>
              </w:rPr>
              <w:t>Majority does not necessarily equal correctness</w:t>
            </w:r>
          </w:p>
        </w:tc>
        <w:tc>
          <w:tcPr>
            <w:tcW w:w="2640" w:type="dxa"/>
          </w:tcPr>
          <w:p w14:paraId="32B1B483" w14:textId="77777777" w:rsidR="00BC025E" w:rsidRDefault="00000000">
            <w:r>
              <w:rPr>
                <w:rFonts w:ascii="Arial" w:eastAsia="Arial" w:hAnsi="Arial"/>
              </w:rPr>
              <w:t>Preserve evidence and uncertainty</w:t>
            </w:r>
          </w:p>
        </w:tc>
      </w:tr>
      <w:tr w:rsidR="00BC025E" w14:paraId="3D88AB7D" w14:textId="77777777">
        <w:tc>
          <w:tcPr>
            <w:tcW w:w="2640" w:type="dxa"/>
          </w:tcPr>
          <w:p w14:paraId="11462B47" w14:textId="77777777" w:rsidR="00BC025E" w:rsidRDefault="00000000">
            <w:r>
              <w:rPr>
                <w:rFonts w:ascii="Arial" w:eastAsia="Arial" w:hAnsi="Arial"/>
              </w:rPr>
              <w:t>PATCH chains</w:t>
            </w:r>
          </w:p>
        </w:tc>
        <w:tc>
          <w:tcPr>
            <w:tcW w:w="2640" w:type="dxa"/>
          </w:tcPr>
          <w:p w14:paraId="4BF6FAC4" w14:textId="77777777" w:rsidR="00BC025E" w:rsidRDefault="00000000">
            <w:r>
              <w:rPr>
                <w:rFonts w:ascii="Arial" w:eastAsia="Arial" w:hAnsi="Arial"/>
              </w:rPr>
              <w:t>Regression of previously working functions</w:t>
            </w:r>
          </w:p>
        </w:tc>
        <w:tc>
          <w:tcPr>
            <w:tcW w:w="2640" w:type="dxa"/>
          </w:tcPr>
          <w:p w14:paraId="5CFEFEFA" w14:textId="77777777" w:rsidR="00BC025E" w:rsidRDefault="00000000">
            <w:r>
              <w:rPr>
                <w:rFonts w:ascii="Arial" w:eastAsia="Arial" w:hAnsi="Arial"/>
              </w:rPr>
              <w:t>Cross-cutting audit + regression testing</w:t>
            </w:r>
          </w:p>
        </w:tc>
      </w:tr>
      <w:tr w:rsidR="00BC025E" w14:paraId="05BF2E68" w14:textId="77777777">
        <w:tc>
          <w:tcPr>
            <w:tcW w:w="2640" w:type="dxa"/>
          </w:tcPr>
          <w:p w14:paraId="3F27BF1D" w14:textId="77777777" w:rsidR="00BC025E" w:rsidRDefault="00000000">
            <w:r>
              <w:rPr>
                <w:rFonts w:ascii="Arial" w:eastAsia="Arial" w:hAnsi="Arial"/>
              </w:rPr>
              <w:t>Dependence on conversational memory</w:t>
            </w:r>
          </w:p>
        </w:tc>
        <w:tc>
          <w:tcPr>
            <w:tcW w:w="2640" w:type="dxa"/>
          </w:tcPr>
          <w:p w14:paraId="72DB9A2B" w14:textId="77777777" w:rsidR="00BC025E" w:rsidRDefault="00000000">
            <w:r>
              <w:rPr>
                <w:rFonts w:ascii="Arial" w:eastAsia="Arial" w:hAnsi="Arial"/>
              </w:rPr>
              <w:t>Misidentification of authoritative decisions</w:t>
            </w:r>
          </w:p>
        </w:tc>
        <w:tc>
          <w:tcPr>
            <w:tcW w:w="2640" w:type="dxa"/>
          </w:tcPr>
          <w:p w14:paraId="6DB64D44" w14:textId="77777777" w:rsidR="00BC025E" w:rsidRDefault="00000000">
            <w:r>
              <w:rPr>
                <w:rFonts w:ascii="Arial" w:eastAsia="Arial" w:hAnsi="Arial"/>
              </w:rPr>
              <w:t>AZRAS DEVELOPMENT CONSTITUTION</w:t>
            </w:r>
          </w:p>
        </w:tc>
      </w:tr>
      <w:tr w:rsidR="00BC025E" w14:paraId="3D40A772" w14:textId="77777777">
        <w:tc>
          <w:tcPr>
            <w:tcW w:w="2640" w:type="dxa"/>
          </w:tcPr>
          <w:p w14:paraId="1263F346" w14:textId="77777777" w:rsidR="00BC025E" w:rsidRDefault="00000000">
            <w:r>
              <w:rPr>
                <w:rFonts w:ascii="Arial" w:eastAsia="Arial" w:hAnsi="Arial"/>
              </w:rPr>
              <w:t>Automatic start of large-scale work</w:t>
            </w:r>
          </w:p>
        </w:tc>
        <w:tc>
          <w:tcPr>
            <w:tcW w:w="2640" w:type="dxa"/>
          </w:tcPr>
          <w:p w14:paraId="1F786D58" w14:textId="77777777" w:rsidR="00BC025E" w:rsidRDefault="00000000">
            <w:r>
              <w:rPr>
                <w:rFonts w:ascii="Arial" w:eastAsia="Arial" w:hAnsi="Arial"/>
              </w:rPr>
              <w:t>Risk of unnecessary data and method changes</w:t>
            </w:r>
          </w:p>
        </w:tc>
        <w:tc>
          <w:tcPr>
            <w:tcW w:w="2640" w:type="dxa"/>
          </w:tcPr>
          <w:p w14:paraId="6A078330" w14:textId="77777777" w:rsidR="00BC025E" w:rsidRDefault="00000000">
            <w:r>
              <w:rPr>
                <w:rFonts w:ascii="Arial" w:eastAsia="Arial" w:hAnsi="Arial"/>
              </w:rPr>
              <w:t>Prior consultation + developer approval</w:t>
            </w:r>
          </w:p>
        </w:tc>
      </w:tr>
    </w:tbl>
    <w:p w14:paraId="7464A68A" w14:textId="77777777" w:rsidR="00BC025E" w:rsidRDefault="00BC025E"/>
    <w:p w14:paraId="5455EC13" w14:textId="77777777" w:rsidR="00BC025E" w:rsidRDefault="00000000">
      <w:pPr>
        <w:pStyle w:val="2"/>
      </w:pPr>
      <w:r>
        <w:rPr>
          <w:rFonts w:ascii="Arial" w:eastAsia="Arial" w:hAnsi="Arial"/>
          <w:b w:val="0"/>
        </w:rPr>
        <w:lastRenderedPageBreak/>
        <w:t>15. Connecting Drawing Decisions AI Cannot Resolve to Authoritative Human Answers</w:t>
      </w:r>
    </w:p>
    <w:p w14:paraId="7F4E7D20" w14:textId="77777777" w:rsidR="00BC025E" w:rsidRDefault="00000000">
      <w:pPr>
        <w:pStyle w:val="FirstParagraph"/>
      </w:pPr>
      <w:r>
        <w:rPr>
          <w:rFonts w:ascii="Arial" w:eastAsia="Arial" w:hAnsi="Arial"/>
        </w:rPr>
        <w:t>On September 7, 2026, the AI takeoff flow in AZRAS Planning moved from trying to finalize quantities through multiple AI systems alone to a process that formally connects unresolved "unknowns" and "drawing conflicts" to human design judgment.</w:t>
      </w:r>
    </w:p>
    <w:p w14:paraId="012327DE" w14:textId="77777777" w:rsidR="00BC025E" w:rsidRDefault="00000000">
      <w:pPr>
        <w:pStyle w:val="a0"/>
      </w:pPr>
      <w:r>
        <w:rPr>
          <w:rFonts w:ascii="Arial" w:eastAsia="Arial" w:hAnsi="Arial"/>
        </w:rPr>
        <w:t>The background is a practical reality: architectural and engineering drawings contain information that cannot always be finalized by AI capability alone. When drawings conflict, deciding which drawing governs is not merely a recognition problem; it may require judgment about design intent and specification priority. If AI invents missing conditions and generates quantities from them, those assumptions can propagate into construction cost, environmental evaluation, and long-term evaluation.</w:t>
      </w:r>
    </w:p>
    <w:p w14:paraId="3CBD3136" w14:textId="77777777" w:rsidR="00BC025E" w:rsidRDefault="00000000">
      <w:pPr>
        <w:pStyle w:val="a0"/>
      </w:pPr>
      <w:r>
        <w:rPr>
          <w:rFonts w:ascii="Arial" w:eastAsia="Arial" w:hAnsi="Arial"/>
        </w:rPr>
        <w:t>Accordingly, only the "unknowns" and "drawing conflicts" that remain after independent analysis by multiple AI systems and evidence rechecking by ChatGPT are exported to a review Excel file for the user/designer to answer. ChatGPT reads the completed Excel file and converts only the explicitly stated human decisions into AZRAS_HUMAN_REVIEW_FINAL JSON. Planning imports this authoritative JSON, stores the human answers as parameters, and recalculates quantities.</w:t>
      </w:r>
    </w:p>
    <w:p w14:paraId="4115BBFC" w14:textId="77777777" w:rsidR="00BC025E" w:rsidRDefault="00000000">
      <w:r>
        <w:rPr>
          <w:rFonts w:ascii="Arial" w:eastAsia="Arial" w:hAnsi="Arial"/>
        </w:rPr>
        <w:t>• AI presents drawing facts, calculations, and uncertainty, but does not fill in design decisions on its own.</w:t>
      </w:r>
    </w:p>
    <w:p w14:paraId="79D98FE8" w14:textId="77777777" w:rsidR="00BC025E" w:rsidRDefault="00000000">
      <w:r>
        <w:rPr>
          <w:rFonts w:ascii="Arial" w:eastAsia="Arial" w:hAnsi="Arial"/>
        </w:rPr>
        <w:t>• Human answers do not directly overwrite quantities as free text; they are converted into reproducible parameters through HUMAN_REVIEW_FINAL.</w:t>
      </w:r>
    </w:p>
    <w:p w14:paraId="2A729D8F" w14:textId="77777777" w:rsidR="00BC025E" w:rsidRDefault="00000000">
      <w:r>
        <w:rPr>
          <w:rFonts w:ascii="Arial" w:eastAsia="Arial" w:hAnsi="Arial"/>
        </w:rPr>
        <w:t>• HUMAN_REVIEW_FINAL is protected as the final authority above older AI unresolved/conflict determinations.</w:t>
      </w:r>
    </w:p>
    <w:p w14:paraId="0A134E8B" w14:textId="77777777" w:rsidR="00BC025E" w:rsidRDefault="00000000">
      <w:r>
        <w:rPr>
          <w:rFonts w:ascii="Arial" w:eastAsia="Arial" w:hAnsi="Arial"/>
        </w:rPr>
        <w:t>• Quantities after human review are treated as recalculated values based on human-approved parameters plus drawing geometry.</w:t>
      </w:r>
    </w:p>
    <w:p w14:paraId="21B8EAF0" w14:textId="77777777" w:rsidR="00BC025E" w:rsidRDefault="00000000">
      <w:pPr>
        <w:pStyle w:val="a0"/>
      </w:pPr>
      <w:r>
        <w:rPr>
          <w:rFonts w:ascii="Arial" w:eastAsia="Arial" w:hAnsi="Arial"/>
        </w:rPr>
        <w:t>Through this mechanism, AZRAS evolved into a human-in-the-loop building quantity system in which AI gathers evidence, returns unresolved decisions to humans, and brings those human decisions back into the system as recalculable data.</w:t>
      </w:r>
    </w:p>
    <w:p w14:paraId="4E19B4C1" w14:textId="77777777" w:rsidR="00BC025E" w:rsidRDefault="00BC025E"/>
    <w:p w14:paraId="4B383976" w14:textId="77777777" w:rsidR="00BC025E" w:rsidRDefault="00000000">
      <w:pPr>
        <w:pStyle w:val="2"/>
      </w:pPr>
      <w:r>
        <w:rPr>
          <w:rFonts w:ascii="Arial" w:eastAsia="Arial" w:hAnsi="Arial"/>
          <w:b w:val="0"/>
        </w:rPr>
        <w:t>16. Preserving the Same Drawings and Questions to Observe AI Evolution Itself</w:t>
      </w:r>
    </w:p>
    <w:p w14:paraId="47014C8B" w14:textId="77777777" w:rsidR="00BC025E" w:rsidRDefault="00000000">
      <w:pPr>
        <w:pStyle w:val="FirstParagraph"/>
      </w:pPr>
      <w:r>
        <w:rPr>
          <w:rFonts w:ascii="Arial" w:eastAsia="Arial" w:hAnsi="Arial"/>
        </w:rPr>
        <w:t>On the same day, AZRAS Planning v1.0.563-v1.0.564 added an "AI Evolution / fixed-condition observation" record layer separate from normal AI takeoff.</w:t>
      </w:r>
    </w:p>
    <w:p w14:paraId="17E240D2" w14:textId="77777777" w:rsidR="00BC025E" w:rsidRDefault="00000000">
      <w:pPr>
        <w:pStyle w:val="a0"/>
      </w:pPr>
      <w:r>
        <w:rPr>
          <w:rFonts w:ascii="Arial" w:eastAsia="Arial" w:hAnsi="Arial"/>
        </w:rPr>
        <w:t>The purpose of this function is to make it possible, when AI models are updated in the future, to verify with real data whether they can read the same practical drawings more accurately than before or, conversely, whether they have lost capabilities they previously had. Rather than a one-time benchmark, repeating the same architectural task over time makes it possible to record improvements, regressions, and changes in decision tendencies longitudinally.</w:t>
      </w:r>
    </w:p>
    <w:p w14:paraId="5DDD8756" w14:textId="77777777" w:rsidR="00BC025E" w:rsidRDefault="00000000">
      <w:pPr>
        <w:pStyle w:val="a0"/>
      </w:pPr>
      <w:r>
        <w:rPr>
          <w:rFonts w:ascii="Arial" w:eastAsia="Arial" w:hAnsi="Arial"/>
        </w:rPr>
        <w:lastRenderedPageBreak/>
        <w:t>To keep observation conditions fixed, AZRAS generates the request sent to the AI, a fixed protocol, response metadata format, and a Manifest as an AI observation package ZIP. PDF/ZIP drawings remain separate attachments, while the Manifest records each drawing file name, size, and SHA-256 hash. The SHA-256 serves as a fingerprint of file contents, allowing future observations to verify that the identical drawing files were used.</w:t>
      </w:r>
    </w:p>
    <w:p w14:paraId="169DE049" w14:textId="77777777" w:rsidR="00BC025E" w:rsidRDefault="00000000">
      <w:pPr>
        <w:pStyle w:val="a0"/>
      </w:pPr>
      <w:r>
        <w:rPr>
          <w:rFonts w:ascii="Arial" w:eastAsia="Arial" w:hAnsi="Arial"/>
        </w:rPr>
        <w:t>Each AI is kept blind to previous rounds and to the answers of other AIs. The AI returns an independent response containing its own model information, quantities, units, Confidence, Drawing Proof, Calculation Basis, Interpretation Basis, Uncertainty, and related data. Differences from prior rounds, differences among AIs, and the final human judgment are retained only on the AZRAS side.</w:t>
      </w:r>
    </w:p>
    <w:p w14:paraId="41B21587" w14:textId="77777777" w:rsidR="00BC025E" w:rsidRDefault="00000000">
      <w:r>
        <w:rPr>
          <w:rFonts w:ascii="Arial" w:eastAsia="Arial" w:hAnsi="Arial"/>
        </w:rPr>
        <w:t>• Separate authoritative quantity/construction-cost calculations from AI evolution observation logs so research records do not contaminate official calculations.</w:t>
      </w:r>
    </w:p>
    <w:p w14:paraId="67F0C10B" w14:textId="77777777" w:rsidR="00BC025E" w:rsidRDefault="00000000">
      <w:r>
        <w:rPr>
          <w:rFonts w:ascii="Arial" w:eastAsia="Arial" w:hAnsi="Arial"/>
        </w:rPr>
        <w:t>• Record the request and SHA-256 hashes of the drawing set in the Manifest to verify identical conditions.</w:t>
      </w:r>
    </w:p>
    <w:p w14:paraId="1A2ABD82" w14:textId="77777777" w:rsidR="00BC025E" w:rsidRDefault="00000000">
      <w:r>
        <w:rPr>
          <w:rFonts w:ascii="Arial" w:eastAsia="Arial" w:hAnsi="Arial"/>
        </w:rPr>
        <w:t>• Save each AI response in AI_Evolution/Rx/Responses as an independent observation record.</w:t>
      </w:r>
    </w:p>
    <w:p w14:paraId="74B4D706" w14:textId="77777777" w:rsidR="00BC025E" w:rsidRDefault="00000000">
      <w:r>
        <w:rPr>
          <w:rFonts w:ascii="Arial" w:eastAsia="Arial" w:hAnsi="Arial"/>
        </w:rPr>
        <w:t>• Compare R1, R2, R3, and subsequent rounds, tracking not only correctness but also unknown judgments, evidence identification, calculation processes, and changes in Confidence.</w:t>
      </w:r>
    </w:p>
    <w:p w14:paraId="58AA073A" w14:textId="77777777" w:rsidR="00BC025E" w:rsidRDefault="00000000">
      <w:pPr>
        <w:pStyle w:val="a0"/>
      </w:pPr>
      <w:r>
        <w:rPr>
          <w:rFonts w:ascii="Arial" w:eastAsia="Arial" w:hAnsi="Arial"/>
        </w:rPr>
        <w:t>As a result, AZRAS moved toward serving not only as practical software for building planning, takeoff, and evaluation, but also as a platform for longitudinal multi-model benchmarking that can observe changes in the capabilities of multiple AI systems over long periods using real building drawings.</w:t>
      </w:r>
    </w:p>
    <w:p w14:paraId="0DE41444" w14:textId="77777777" w:rsidR="00BC025E" w:rsidRDefault="00BC025E"/>
    <w:p w14:paraId="01EA202A" w14:textId="77777777" w:rsidR="00BC025E" w:rsidRDefault="00000000">
      <w:pPr>
        <w:pStyle w:val="2"/>
      </w:pPr>
      <w:r>
        <w:rPr>
          <w:rFonts w:ascii="Arial" w:eastAsia="Arial" w:hAnsi="Arial"/>
          <w:b w:val="0"/>
        </w:rPr>
        <w:t>17. Division of Responsibilities among AI, Humans, and AZRAS</w:t>
      </w:r>
    </w:p>
    <w:p w14:paraId="0DE0AC39" w14:textId="77777777" w:rsidR="00BC025E" w:rsidRDefault="00000000">
      <w:pPr>
        <w:pStyle w:val="FirstParagraph"/>
      </w:pPr>
      <w:r>
        <w:rPr>
          <w:rFonts w:ascii="Arial" w:eastAsia="Arial" w:hAnsi="Arial"/>
        </w:rPr>
        <w:t>AI: reads drawings, performs independent quantity calculations, presents evidence, and states uncertainty. Within AZRAS, AI is responsible for evidence, candidate values, and rechecking.</w:t>
      </w:r>
    </w:p>
    <w:p w14:paraId="7F3BCCB0" w14:textId="77777777" w:rsidR="00BC025E" w:rsidRDefault="00000000">
      <w:pPr>
        <w:pStyle w:val="a0"/>
      </w:pPr>
      <w:r>
        <w:rPr>
          <w:rFonts w:ascii="Arial" w:eastAsia="Arial" w:hAnsi="Arial"/>
        </w:rPr>
        <w:t>Human / designer: makes decisions that AI alone cannot legitimately finalize, such as resolving drawing conflicts, specification priorities, and design intent. The human is responsible for authoritative decisions through HUMAN_REVIEW_FINAL.</w:t>
      </w:r>
    </w:p>
    <w:p w14:paraId="342885CE" w14:textId="77777777" w:rsidR="00BC025E" w:rsidRDefault="00000000">
      <w:pPr>
        <w:pStyle w:val="a0"/>
      </w:pPr>
      <w:r>
        <w:rPr>
          <w:rFonts w:ascii="Arial" w:eastAsia="Arial" w:hAnsi="Arial"/>
        </w:rPr>
        <w:t>AZRAS: serves as the reproducible System of Record responsible for authoritative data retention, recalculation, separation of histories, and connection to downstream calculations.</w:t>
      </w:r>
    </w:p>
    <w:p w14:paraId="11A21212" w14:textId="77777777" w:rsidR="00BC025E" w:rsidRDefault="00000000">
      <w:pPr>
        <w:pStyle w:val="a0"/>
      </w:pPr>
      <w:r>
        <w:rPr>
          <w:rFonts w:ascii="Arial" w:eastAsia="Arial" w:hAnsi="Arial"/>
        </w:rPr>
        <w:t>This division of responsibilities is designed to maximize AI strengths in large-scale reading, comparison, and evidence organization, while returning only those matters that AI cannot legitimately decide to humans and fixing the resulting human decisions in AZRAS in a reproducible form.</w:t>
      </w:r>
    </w:p>
    <w:p w14:paraId="119BF50A" w14:textId="77777777" w:rsidR="00BC025E" w:rsidRDefault="00BC025E"/>
    <w:p w14:paraId="27143276" w14:textId="77777777" w:rsidR="00BC025E" w:rsidRDefault="00000000">
      <w:pPr>
        <w:pStyle w:val="2"/>
      </w:pPr>
      <w:r>
        <w:rPr>
          <w:rFonts w:ascii="Arial" w:eastAsia="Arial" w:hAnsi="Arial"/>
          <w:b w:val="0"/>
        </w:rPr>
        <w:lastRenderedPageBreak/>
        <w:t>18. Conclusion</w:t>
      </w:r>
    </w:p>
    <w:p w14:paraId="4CE0AAB0" w14:textId="77777777" w:rsidR="00BC025E" w:rsidRDefault="00000000">
      <w:pPr>
        <w:pStyle w:val="FirstParagraph"/>
      </w:pPr>
      <w:r>
        <w:rPr>
          <w:rFonts w:ascii="Arial" w:eastAsia="Arial" w:hAnsi="Arial"/>
        </w:rPr>
        <w:t>AZRAS was not designed in a complete final form from the outset and then developed in a straight line. It was formed through repeated verification of methods using real drawings, real comparisons, real defects, and long-term co-development with AI.</w:t>
      </w:r>
    </w:p>
    <w:p w14:paraId="62010943" w14:textId="77777777" w:rsidR="00BC025E" w:rsidRDefault="00000000">
      <w:pPr>
        <w:pStyle w:val="a0"/>
      </w:pPr>
      <w:r>
        <w:rPr>
          <w:rFonts w:ascii="Arial" w:eastAsia="Arial" w:hAnsi="Arial"/>
        </w:rPr>
        <w:t>An important principle added on August 31, 2026 was to stop assuming that AI would continuously remember the development philosophy of AZRAS. AZRAS itself retains the current authoritative decisions, and any AI reads those decisions and works according to common data and verification rules. This extended Any AI Architecture beyond drawing analysis to the future maintenance, repair, and evolution of the software itself.</w:t>
      </w:r>
    </w:p>
    <w:p w14:paraId="5CCD3BAF" w14:textId="77777777" w:rsidR="00BC025E" w:rsidRDefault="00000000">
      <w:pPr>
        <w:pStyle w:val="a0"/>
      </w:pPr>
      <w:r>
        <w:rPr>
          <w:rFonts w:ascii="Arial" w:eastAsia="Arial" w:hAnsi="Arial"/>
        </w:rPr>
        <w:t>Furthermore, on September 7, 2026, HUMAN_REVIEW_FINAL was established to connect drawing decisions that AI cannot resolve to authoritative human answers; AI Evolution was introduced to preserve the same drawings and questions for continuing observation of model evolution; and the responsibilities of AI, humans, and AZRAS were explicitly separated. AZRAS was thereby positioned as a human-in-the-loop system in which AI presents evidence and candidate values, humans make design decisions, and AZRAS retains authoritative data, recalculation logic, and history rather than allowing AI to decide everything.</w:t>
      </w:r>
    </w:p>
    <w:p w14:paraId="48779B70" w14:textId="77777777" w:rsidR="00BC025E" w:rsidRDefault="00000000">
      <w:pPr>
        <w:pStyle w:val="a0"/>
      </w:pPr>
      <w:r>
        <w:rPr>
          <w:rFonts w:ascii="Arial" w:eastAsia="Arial" w:hAnsi="Arial"/>
        </w:rPr>
        <w:t>Accordingly, the history of AZRAS is not merely a record of feature additions. It is also a record of practical experimentation with four questions: which information should be delegated to AI and which calculations and responsibilities should remain in a reproducible system; how decisions that AI alone cannot make should be returned to humans; how AI evolution should be verified under identical conditions; and where authoritative design decisions should be retained during long-term human-AI co-development.</w:t>
      </w:r>
    </w:p>
    <w:sectPr w:rsidR="00BC025E">
      <w:headerReference w:type="default" r:id="rId7"/>
      <w:footerReference w:type="default" r:id="rId8"/>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AB3EE" w14:textId="77777777" w:rsidR="00B2215D" w:rsidRDefault="00B2215D">
      <w:pPr>
        <w:spacing w:after="0"/>
      </w:pPr>
      <w:r>
        <w:separator/>
      </w:r>
    </w:p>
  </w:endnote>
  <w:endnote w:type="continuationSeparator" w:id="0">
    <w:p w14:paraId="464B2A9C" w14:textId="77777777" w:rsidR="00B2215D" w:rsidRDefault="00B221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393C9" w14:textId="77777777" w:rsidR="00BC025E" w:rsidRDefault="00000000">
    <w:pPr>
      <w:jc w:val="center"/>
    </w:pPr>
    <w:r>
      <w:rPr>
        <w:rFonts w:ascii="Arial" w:eastAsia="Arial" w:hAnsi="Arial"/>
        <w:sz w:val="16"/>
      </w:rPr>
      <w:t>AZRAS | ACE Comprehensive Consulting Co.,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899A9" w14:textId="77777777" w:rsidR="00B2215D" w:rsidRDefault="00B2215D">
      <w:r>
        <w:separator/>
      </w:r>
    </w:p>
  </w:footnote>
  <w:footnote w:type="continuationSeparator" w:id="0">
    <w:p w14:paraId="21359405" w14:textId="77777777" w:rsidR="00B2215D" w:rsidRDefault="00B22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865D" w14:textId="77777777" w:rsidR="00BC025E" w:rsidRDefault="00BC025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CF5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80578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C025E"/>
    <w:rsid w:val="00B2215D"/>
    <w:rsid w:val="00B3406E"/>
    <w:rsid w:val="00BC025E"/>
    <w:rsid w:val="00D916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64C0695"/>
  <w15:docId w15:val="{B1C890A9-4B02-4244-9B11-98E4ACD62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游ゴシック" w:eastAsia="游ゴシック" w:hAnsi="游ゴシック"/>
      <w:sz w:val="21"/>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rPr>
      <w:rFonts w:ascii="Noto Sans CJK JP" w:eastAsia="Noto Sans CJK JP" w:hAnsi="Noto Sans CJK JP"/>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rFonts w:ascii="Noto Sans CJK JP" w:eastAsia="Noto Sans CJK JP" w:hAnsi="Noto Sans CJK JP"/>
      <w:sz w:val="30"/>
      <w:szCs w:val="30"/>
    </w:rPr>
  </w:style>
  <w:style w:type="paragraph" w:customStyle="1" w:styleId="Author">
    <w:name w:val="Author"/>
    <w:next w:val="a0"/>
    <w:qFormat/>
    <w:pPr>
      <w:keepNext/>
      <w:keepLines/>
      <w:jc w:val="center"/>
    </w:pPr>
    <w:rPr>
      <w:rFonts w:ascii="Noto Sans CJK JP" w:eastAsia="Noto Sans CJK JP" w:hAnsi="Noto Sans CJK JP"/>
    </w:rPr>
  </w:style>
  <w:style w:type="paragraph" w:styleId="a6">
    <w:name w:val="Date"/>
    <w:next w:val="a0"/>
    <w:qFormat/>
    <w:pPr>
      <w:keepNext/>
      <w:keepLines/>
      <w:jc w:val="center"/>
    </w:pPr>
    <w:rPr>
      <w:rFonts w:ascii="Noto Sans CJK JP" w:eastAsia="Noto Sans CJK JP" w:hAnsi="Noto Sans CJK JP"/>
    </w:rPr>
  </w:style>
  <w:style w:type="paragraph" w:customStyle="1" w:styleId="AbstractTitle">
    <w:name w:val="Abstract Title"/>
    <w:basedOn w:val="a"/>
    <w:next w:val="Abstract"/>
    <w:qFormat/>
    <w:pPr>
      <w:keepNext/>
      <w:keepLines/>
      <w:spacing w:before="300" w:after="0"/>
      <w:jc w:val="center"/>
    </w:pPr>
    <w:rPr>
      <w:rFonts w:ascii="Noto Sans CJK JP" w:eastAsia="Noto Sans CJK JP" w:hAnsi="Noto Sans CJK JP"/>
      <w:b/>
      <w:color w:val="345A8A"/>
      <w:sz w:val="20"/>
      <w:szCs w:val="20"/>
    </w:rPr>
  </w:style>
  <w:style w:type="paragraph" w:customStyle="1" w:styleId="Abstract">
    <w:name w:val="Abstract"/>
    <w:basedOn w:val="a"/>
    <w:next w:val="a0"/>
    <w:qFormat/>
    <w:pPr>
      <w:keepNext/>
      <w:keepLines/>
      <w:spacing w:before="100" w:after="300"/>
    </w:pPr>
    <w:rPr>
      <w:rFonts w:ascii="Noto Sans CJK JP" w:eastAsia="Noto Sans CJK JP" w:hAnsi="Noto Sans CJK JP"/>
      <w:sz w:val="20"/>
      <w:szCs w:val="20"/>
    </w:rPr>
  </w:style>
  <w:style w:type="paragraph" w:styleId="a7">
    <w:name w:val="Bibliography"/>
    <w:basedOn w:val="a"/>
    <w:qFormat/>
    <w:rPr>
      <w:rFonts w:ascii="Noto Sans CJK JP" w:eastAsia="Noto Sans CJK JP" w:hAnsi="Noto Sans CJK JP"/>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rPr>
      <w:rFonts w:ascii="Noto Sans CJK JP" w:eastAsia="Noto Sans CJK JP" w:hAnsi="Noto Sans CJK JP"/>
    </w:rPr>
  </w:style>
  <w:style w:type="paragraph" w:customStyle="1" w:styleId="FootnoteBlockText">
    <w:name w:val="Footnote Block Text"/>
    <w:uiPriority w:val="9"/>
    <w:unhideWhenUsed/>
    <w:qFormat/>
    <w:pPr>
      <w:spacing w:before="100" w:after="100"/>
      <w:ind w:left="480" w:right="480"/>
    </w:pPr>
    <w:rPr>
      <w:rFonts w:ascii="Noto Sans CJK JP" w:eastAsia="Noto Sans CJK JP" w:hAnsi="Noto Sans CJK JP"/>
    </w:rPr>
  </w:style>
  <w:style w:type="table" w:customStyle="1" w:styleId="Table">
    <w:name w:val="Table"/>
    <w:semiHidden/>
    <w:unhideWhenUsed/>
    <w:qFormat/>
    <w:rPr>
      <w:rFonts w:ascii="Noto Sans CJK JP" w:eastAsia="Noto Sans CJK JP" w:hAnsi="Noto Sans CJK JP"/>
      <w:sz w:val="20"/>
      <w:szCs w:val="20"/>
      <w:lang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rFonts w:ascii="Noto Sans CJK JP" w:eastAsia="Noto Sans CJK JP" w:hAnsi="Noto Sans CJK JP"/>
      <w:b/>
    </w:rPr>
  </w:style>
  <w:style w:type="paragraph" w:customStyle="1" w:styleId="Definition">
    <w:name w:val="Definition"/>
    <w:basedOn w:val="a"/>
    <w:rPr>
      <w:rFonts w:ascii="Noto Sans CJK JP" w:eastAsia="Noto Sans CJK JP" w:hAnsi="Noto Sans CJK JP"/>
    </w:rPr>
  </w:style>
  <w:style w:type="paragraph" w:styleId="aa">
    <w:name w:val="caption"/>
    <w:basedOn w:val="a"/>
    <w:link w:val="ab"/>
    <w:pPr>
      <w:spacing w:after="120"/>
    </w:pPr>
    <w:rPr>
      <w:rFonts w:ascii="Noto Sans CJK JP" w:eastAsia="Noto Sans CJK JP" w:hAnsi="Noto Sans CJK JP"/>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rPr>
      <w:rFonts w:ascii="Noto Sans CJK JP" w:eastAsia="Noto Sans CJK JP" w:hAnsi="Noto Sans CJK JP"/>
    </w:rPr>
  </w:style>
  <w:style w:type="paragraph" w:customStyle="1" w:styleId="CaptionedFigure">
    <w:name w:val="Captioned Figure"/>
    <w:basedOn w:val="Figure"/>
    <w:pPr>
      <w:keepNext/>
    </w:pPr>
  </w:style>
  <w:style w:type="character" w:customStyle="1" w:styleId="ab">
    <w:name w:val="図表番号 (文字)"/>
    <w:basedOn w:val="a1"/>
    <w:link w:val="aa"/>
    <w:rPr>
      <w:rFonts w:ascii="Noto Sans CJK JP" w:eastAsia="Noto Sans CJK JP" w:hAnsi="Noto Sans CJK JP"/>
    </w:rPr>
  </w:style>
  <w:style w:type="character" w:customStyle="1" w:styleId="VerbatimChar">
    <w:name w:val="Verbatim Char"/>
    <w:basedOn w:val="ab"/>
    <w:link w:val="SourceCode"/>
    <w:rPr>
      <w:rFonts w:ascii="Noto Sans CJK JP" w:eastAsia="Noto Sans CJK JP" w:hAnsi="Noto Sans CJK JP"/>
      <w:sz w:val="22"/>
    </w:rPr>
  </w:style>
  <w:style w:type="character" w:customStyle="1" w:styleId="SectionNumber">
    <w:name w:val="Section Number"/>
    <w:basedOn w:val="ab"/>
    <w:rPr>
      <w:rFonts w:ascii="Noto Sans CJK JP" w:eastAsia="Noto Sans CJK JP" w:hAnsi="Noto Sans CJK JP"/>
    </w:rPr>
  </w:style>
  <w:style w:type="character" w:styleId="ac">
    <w:name w:val="footnote reference"/>
    <w:basedOn w:val="ab"/>
    <w:rPr>
      <w:rFonts w:ascii="Noto Sans CJK JP" w:eastAsia="Noto Sans CJK JP" w:hAnsi="Noto Sans CJK JP"/>
      <w:vertAlign w:val="superscript"/>
    </w:rPr>
  </w:style>
  <w:style w:type="character" w:styleId="ad">
    <w:name w:val="Hyperlink"/>
    <w:basedOn w:val="ab"/>
    <w:rPr>
      <w:rFonts w:ascii="Noto Sans CJK JP" w:eastAsia="Noto Sans CJK JP" w:hAnsi="Noto Sans CJK JP"/>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rPr>
      <w:rFonts w:ascii="Noto Sans CJK JP" w:eastAsia="Noto Sans CJK JP" w:hAnsi="Noto Sans CJK JP"/>
    </w:rPr>
  </w:style>
  <w:style w:type="character" w:customStyle="1" w:styleId="KeywordTok">
    <w:name w:val="KeywordTok"/>
    <w:basedOn w:val="VerbatimChar"/>
    <w:rPr>
      <w:rFonts w:ascii="Noto Sans CJK JP" w:eastAsia="Noto Sans CJK JP" w:hAnsi="Noto Sans CJK JP"/>
      <w:b/>
      <w:color w:val="007020"/>
      <w:sz w:val="22"/>
    </w:rPr>
  </w:style>
  <w:style w:type="character" w:customStyle="1" w:styleId="DataTypeTok">
    <w:name w:val="DataTypeTok"/>
    <w:basedOn w:val="VerbatimChar"/>
    <w:rPr>
      <w:rFonts w:ascii="Noto Sans CJK JP" w:eastAsia="Noto Sans CJK JP" w:hAnsi="Noto Sans CJK JP"/>
      <w:color w:val="902000"/>
      <w:sz w:val="22"/>
    </w:rPr>
  </w:style>
  <w:style w:type="character" w:customStyle="1" w:styleId="DecValTok">
    <w:name w:val="DecValTok"/>
    <w:basedOn w:val="VerbatimChar"/>
    <w:rPr>
      <w:rFonts w:ascii="Noto Sans CJK JP" w:eastAsia="Noto Sans CJK JP" w:hAnsi="Noto Sans CJK JP"/>
      <w:color w:val="40A070"/>
      <w:sz w:val="22"/>
    </w:rPr>
  </w:style>
  <w:style w:type="character" w:customStyle="1" w:styleId="BaseNTok">
    <w:name w:val="BaseNTok"/>
    <w:basedOn w:val="VerbatimChar"/>
    <w:rPr>
      <w:rFonts w:ascii="Noto Sans CJK JP" w:eastAsia="Noto Sans CJK JP" w:hAnsi="Noto Sans CJK JP"/>
      <w:color w:val="40A070"/>
      <w:sz w:val="22"/>
    </w:rPr>
  </w:style>
  <w:style w:type="character" w:customStyle="1" w:styleId="FloatTok">
    <w:name w:val="FloatTok"/>
    <w:basedOn w:val="VerbatimChar"/>
    <w:rPr>
      <w:rFonts w:ascii="Noto Sans CJK JP" w:eastAsia="Noto Sans CJK JP" w:hAnsi="Noto Sans CJK JP"/>
      <w:color w:val="40A070"/>
      <w:sz w:val="22"/>
    </w:rPr>
  </w:style>
  <w:style w:type="character" w:customStyle="1" w:styleId="ConstantTok">
    <w:name w:val="ConstantTok"/>
    <w:basedOn w:val="VerbatimChar"/>
    <w:rPr>
      <w:rFonts w:ascii="Noto Sans CJK JP" w:eastAsia="Noto Sans CJK JP" w:hAnsi="Noto Sans CJK JP"/>
      <w:color w:val="880000"/>
      <w:sz w:val="22"/>
    </w:rPr>
  </w:style>
  <w:style w:type="character" w:customStyle="1" w:styleId="CharTok">
    <w:name w:val="CharTok"/>
    <w:basedOn w:val="VerbatimChar"/>
    <w:rPr>
      <w:rFonts w:ascii="Noto Sans CJK JP" w:eastAsia="Noto Sans CJK JP" w:hAnsi="Noto Sans CJK JP"/>
      <w:color w:val="4070A0"/>
      <w:sz w:val="22"/>
    </w:rPr>
  </w:style>
  <w:style w:type="character" w:customStyle="1" w:styleId="SpecialCharTok">
    <w:name w:val="SpecialCharTok"/>
    <w:basedOn w:val="VerbatimChar"/>
    <w:rPr>
      <w:rFonts w:ascii="Noto Sans CJK JP" w:eastAsia="Noto Sans CJK JP" w:hAnsi="Noto Sans CJK JP"/>
      <w:color w:val="4070A0"/>
      <w:sz w:val="22"/>
    </w:rPr>
  </w:style>
  <w:style w:type="character" w:customStyle="1" w:styleId="StringTok">
    <w:name w:val="StringTok"/>
    <w:basedOn w:val="VerbatimChar"/>
    <w:rPr>
      <w:rFonts w:ascii="Noto Sans CJK JP" w:eastAsia="Noto Sans CJK JP" w:hAnsi="Noto Sans CJK JP"/>
      <w:color w:val="4070A0"/>
      <w:sz w:val="22"/>
    </w:rPr>
  </w:style>
  <w:style w:type="character" w:customStyle="1" w:styleId="VerbatimStringTok">
    <w:name w:val="VerbatimStringTok"/>
    <w:basedOn w:val="VerbatimChar"/>
    <w:rPr>
      <w:rFonts w:ascii="Noto Sans CJK JP" w:eastAsia="Noto Sans CJK JP" w:hAnsi="Noto Sans CJK JP"/>
      <w:color w:val="4070A0"/>
      <w:sz w:val="22"/>
    </w:rPr>
  </w:style>
  <w:style w:type="character" w:customStyle="1" w:styleId="SpecialStringTok">
    <w:name w:val="SpecialStringTok"/>
    <w:basedOn w:val="VerbatimChar"/>
    <w:rPr>
      <w:rFonts w:ascii="Noto Sans CJK JP" w:eastAsia="Noto Sans CJK JP" w:hAnsi="Noto Sans CJK JP"/>
      <w:color w:val="BB6688"/>
      <w:sz w:val="22"/>
    </w:rPr>
  </w:style>
  <w:style w:type="character" w:customStyle="1" w:styleId="ImportTok">
    <w:name w:val="ImportTok"/>
    <w:basedOn w:val="VerbatimChar"/>
    <w:rPr>
      <w:rFonts w:ascii="Noto Sans CJK JP" w:eastAsia="Noto Sans CJK JP" w:hAnsi="Noto Sans CJK JP"/>
      <w:b/>
      <w:color w:val="008000"/>
      <w:sz w:val="22"/>
    </w:rPr>
  </w:style>
  <w:style w:type="character" w:customStyle="1" w:styleId="CommentTok">
    <w:name w:val="CommentTok"/>
    <w:basedOn w:val="VerbatimChar"/>
    <w:rPr>
      <w:rFonts w:ascii="Noto Sans CJK JP" w:eastAsia="Noto Sans CJK JP" w:hAnsi="Noto Sans CJK JP"/>
      <w:i/>
      <w:color w:val="60A0B0"/>
      <w:sz w:val="22"/>
    </w:rPr>
  </w:style>
  <w:style w:type="character" w:customStyle="1" w:styleId="DocumentationTok">
    <w:name w:val="DocumentationTok"/>
    <w:basedOn w:val="VerbatimChar"/>
    <w:rPr>
      <w:rFonts w:ascii="Noto Sans CJK JP" w:eastAsia="Noto Sans CJK JP" w:hAnsi="Noto Sans CJK JP"/>
      <w:i/>
      <w:color w:val="BA2121"/>
      <w:sz w:val="22"/>
    </w:rPr>
  </w:style>
  <w:style w:type="character" w:customStyle="1" w:styleId="AnnotationTok">
    <w:name w:val="AnnotationTok"/>
    <w:basedOn w:val="VerbatimChar"/>
    <w:rPr>
      <w:rFonts w:ascii="Noto Sans CJK JP" w:eastAsia="Noto Sans CJK JP" w:hAnsi="Noto Sans CJK JP"/>
      <w:b/>
      <w:i/>
      <w:color w:val="60A0B0"/>
      <w:sz w:val="22"/>
    </w:rPr>
  </w:style>
  <w:style w:type="character" w:customStyle="1" w:styleId="CommentVarTok">
    <w:name w:val="CommentVarTok"/>
    <w:basedOn w:val="VerbatimChar"/>
    <w:rPr>
      <w:rFonts w:ascii="Noto Sans CJK JP" w:eastAsia="Noto Sans CJK JP" w:hAnsi="Noto Sans CJK JP"/>
      <w:b/>
      <w:i/>
      <w:color w:val="60A0B0"/>
      <w:sz w:val="22"/>
    </w:rPr>
  </w:style>
  <w:style w:type="character" w:customStyle="1" w:styleId="OtherTok">
    <w:name w:val="OtherTok"/>
    <w:basedOn w:val="VerbatimChar"/>
    <w:rPr>
      <w:rFonts w:ascii="Noto Sans CJK JP" w:eastAsia="Noto Sans CJK JP" w:hAnsi="Noto Sans CJK JP"/>
      <w:color w:val="007020"/>
      <w:sz w:val="22"/>
    </w:rPr>
  </w:style>
  <w:style w:type="character" w:customStyle="1" w:styleId="FunctionTok">
    <w:name w:val="FunctionTok"/>
    <w:basedOn w:val="VerbatimChar"/>
    <w:rPr>
      <w:rFonts w:ascii="Noto Sans CJK JP" w:eastAsia="Noto Sans CJK JP" w:hAnsi="Noto Sans CJK JP"/>
      <w:color w:val="06287E"/>
      <w:sz w:val="22"/>
    </w:rPr>
  </w:style>
  <w:style w:type="character" w:customStyle="1" w:styleId="VariableTok">
    <w:name w:val="VariableTok"/>
    <w:basedOn w:val="VerbatimChar"/>
    <w:rPr>
      <w:rFonts w:ascii="Noto Sans CJK JP" w:eastAsia="Noto Sans CJK JP" w:hAnsi="Noto Sans CJK JP"/>
      <w:color w:val="19177C"/>
      <w:sz w:val="22"/>
    </w:rPr>
  </w:style>
  <w:style w:type="character" w:customStyle="1" w:styleId="ControlFlowTok">
    <w:name w:val="ControlFlowTok"/>
    <w:basedOn w:val="VerbatimChar"/>
    <w:rPr>
      <w:rFonts w:ascii="Noto Sans CJK JP" w:eastAsia="Noto Sans CJK JP" w:hAnsi="Noto Sans CJK JP"/>
      <w:b/>
      <w:color w:val="007020"/>
      <w:sz w:val="22"/>
    </w:rPr>
  </w:style>
  <w:style w:type="character" w:customStyle="1" w:styleId="OperatorTok">
    <w:name w:val="OperatorTok"/>
    <w:basedOn w:val="VerbatimChar"/>
    <w:rPr>
      <w:rFonts w:ascii="Noto Sans CJK JP" w:eastAsia="Noto Sans CJK JP" w:hAnsi="Noto Sans CJK JP"/>
      <w:color w:val="666666"/>
      <w:sz w:val="22"/>
    </w:rPr>
  </w:style>
  <w:style w:type="character" w:customStyle="1" w:styleId="BuiltInTok">
    <w:name w:val="BuiltInTok"/>
    <w:basedOn w:val="VerbatimChar"/>
    <w:rPr>
      <w:rFonts w:ascii="Noto Sans CJK JP" w:eastAsia="Noto Sans CJK JP" w:hAnsi="Noto Sans CJK JP"/>
      <w:color w:val="008000"/>
      <w:sz w:val="22"/>
    </w:rPr>
  </w:style>
  <w:style w:type="character" w:customStyle="1" w:styleId="ExtensionTok">
    <w:name w:val="ExtensionTok"/>
    <w:basedOn w:val="VerbatimChar"/>
    <w:rPr>
      <w:rFonts w:ascii="Noto Sans CJK JP" w:eastAsia="Noto Sans CJK JP" w:hAnsi="Noto Sans CJK JP"/>
      <w:sz w:val="22"/>
    </w:rPr>
  </w:style>
  <w:style w:type="character" w:customStyle="1" w:styleId="PreprocessorTok">
    <w:name w:val="PreprocessorTok"/>
    <w:basedOn w:val="VerbatimChar"/>
    <w:rPr>
      <w:rFonts w:ascii="Noto Sans CJK JP" w:eastAsia="Noto Sans CJK JP" w:hAnsi="Noto Sans CJK JP"/>
      <w:color w:val="BC7A00"/>
      <w:sz w:val="22"/>
    </w:rPr>
  </w:style>
  <w:style w:type="character" w:customStyle="1" w:styleId="AttributeTok">
    <w:name w:val="AttributeTok"/>
    <w:basedOn w:val="VerbatimChar"/>
    <w:rPr>
      <w:rFonts w:ascii="Noto Sans CJK JP" w:eastAsia="Noto Sans CJK JP" w:hAnsi="Noto Sans CJK JP"/>
      <w:color w:val="7D9029"/>
      <w:sz w:val="22"/>
    </w:rPr>
  </w:style>
  <w:style w:type="character" w:customStyle="1" w:styleId="RegionMarkerTok">
    <w:name w:val="RegionMarkerTok"/>
    <w:basedOn w:val="VerbatimChar"/>
    <w:rPr>
      <w:rFonts w:ascii="Noto Sans CJK JP" w:eastAsia="Noto Sans CJK JP" w:hAnsi="Noto Sans CJK JP"/>
      <w:sz w:val="22"/>
    </w:rPr>
  </w:style>
  <w:style w:type="character" w:customStyle="1" w:styleId="InformationTok">
    <w:name w:val="InformationTok"/>
    <w:basedOn w:val="VerbatimChar"/>
    <w:rPr>
      <w:rFonts w:ascii="Noto Sans CJK JP" w:eastAsia="Noto Sans CJK JP" w:hAnsi="Noto Sans CJK JP"/>
      <w:b/>
      <w:i/>
      <w:color w:val="60A0B0"/>
      <w:sz w:val="22"/>
    </w:rPr>
  </w:style>
  <w:style w:type="character" w:customStyle="1" w:styleId="WarningTok">
    <w:name w:val="WarningTok"/>
    <w:basedOn w:val="VerbatimChar"/>
    <w:rPr>
      <w:rFonts w:ascii="Noto Sans CJK JP" w:eastAsia="Noto Sans CJK JP" w:hAnsi="Noto Sans CJK JP"/>
      <w:b/>
      <w:i/>
      <w:color w:val="60A0B0"/>
      <w:sz w:val="22"/>
    </w:rPr>
  </w:style>
  <w:style w:type="character" w:customStyle="1" w:styleId="AlertTok">
    <w:name w:val="AlertTok"/>
    <w:basedOn w:val="VerbatimChar"/>
    <w:rPr>
      <w:rFonts w:ascii="Noto Sans CJK JP" w:eastAsia="Noto Sans CJK JP" w:hAnsi="Noto Sans CJK JP"/>
      <w:b/>
      <w:color w:val="FF0000"/>
      <w:sz w:val="22"/>
    </w:rPr>
  </w:style>
  <w:style w:type="character" w:customStyle="1" w:styleId="ErrorTok">
    <w:name w:val="ErrorTok"/>
    <w:basedOn w:val="VerbatimChar"/>
    <w:rPr>
      <w:rFonts w:ascii="Noto Sans CJK JP" w:eastAsia="Noto Sans CJK JP" w:hAnsi="Noto Sans CJK JP"/>
      <w:b/>
      <w:color w:val="FF0000"/>
      <w:sz w:val="22"/>
    </w:rPr>
  </w:style>
  <w:style w:type="character" w:customStyle="1" w:styleId="NormalTok">
    <w:name w:val="NormalTok"/>
    <w:basedOn w:val="VerbatimChar"/>
    <w:rPr>
      <w:rFonts w:ascii="Noto Sans CJK JP" w:eastAsia="Noto Sans CJK JP" w:hAnsi="Noto Sans CJK JP"/>
      <w:sz w:val="22"/>
    </w:rPr>
  </w:style>
  <w:style w:type="paragraph" w:customStyle="1" w:styleId="AZRASHeading1">
    <w:name w:val="AZRAS Heading 1"/>
    <w:rPr>
      <w:rFonts w:ascii="游ゴシック" w:eastAsia="游ゴシック" w:hAnsi="游ゴシック"/>
      <w:b/>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3513</Words>
  <Characters>20026</Characters>
  <Application>Microsoft Office Word</Application>
  <DocSecurity>0</DocSecurity>
  <Lines>166</Lines>
  <Paragraphs>46</Paragraphs>
  <ScaleCrop>false</ScaleCrop>
  <Company/>
  <LinksUpToDate>false</LinksUpToDate>
  <CharactersWithSpaces>23493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AZRAS Official Development History v2.6</dc:title>
  <dc:subject>Evolution of Design Philosophy, System Architecture, and Development Governance through Human-AI Co-development</dc:subject>
  <dc:creator/>
  <cp:keywords/>
  <cp:lastModifiedBy>/ALJ akatsu</cp:lastModifiedBy>
  <cp:revision>2</cp:revision>
  <dcterms:created xsi:type="dcterms:W3CDTF">2026-09-01T03:54:00Z</dcterms:created>
  <dcterms:modified xsi:type="dcterms:W3CDTF">2026-09-23T06:30:00Z</dcterms:modified>
</cp:coreProperties>
</file>