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55183" w14:textId="40194580" w:rsidR="009B7B21" w:rsidRPr="00CF00C4" w:rsidRDefault="00000000">
      <w:pPr>
        <w:pStyle w:val="a4"/>
        <w:rPr>
          <w:rFonts w:ascii="ＭＳ Ｐゴシック" w:eastAsia="ＭＳ Ｐゴシック" w:hAnsi="ＭＳ Ｐゴシック"/>
          <w:bCs w:val="0"/>
          <w:lang w:eastAsia="ja-JP"/>
        </w:rPr>
      </w:pPr>
      <w:r w:rsidRPr="00CF00C4">
        <w:rPr>
          <w:rFonts w:ascii="ＭＳ Ｐゴシック" w:eastAsia="ＭＳ Ｐゴシック" w:hAnsi="ＭＳ Ｐゴシック"/>
          <w:bCs w:val="0"/>
        </w:rPr>
        <w:t xml:space="preserve">AZRAS </w:t>
      </w:r>
      <w:proofErr w:type="spellStart"/>
      <w:r w:rsidRPr="00CF00C4">
        <w:rPr>
          <w:rFonts w:ascii="ＭＳ Ｐゴシック" w:eastAsia="ＭＳ Ｐゴシック" w:hAnsi="ＭＳ Ｐゴシック"/>
          <w:bCs w:val="0"/>
        </w:rPr>
        <w:t>正式開発史</w:t>
      </w:r>
      <w:proofErr w:type="spellEnd"/>
      <w:r w:rsidRPr="00CF00C4">
        <w:rPr>
          <w:rFonts w:ascii="ＭＳ Ｐゴシック" w:eastAsia="ＭＳ Ｐゴシック" w:hAnsi="ＭＳ Ｐゴシック"/>
          <w:bCs w:val="0"/>
        </w:rPr>
        <w:t xml:space="preserve"> v</w:t>
      </w:r>
      <w:r w:rsidR="00CF00C4" w:rsidRPr="00CF00C4">
        <w:rPr>
          <w:rFonts w:ascii="ＭＳ Ｐゴシック" w:eastAsia="ＭＳ Ｐゴシック" w:hAnsi="ＭＳ Ｐゴシック" w:hint="eastAsia"/>
          <w:bCs w:val="0"/>
          <w:lang w:eastAsia="ja-JP"/>
        </w:rPr>
        <w:t>2</w:t>
      </w:r>
      <w:r w:rsidR="005D15B0" w:rsidRPr="00CF00C4">
        <w:rPr>
          <w:rFonts w:ascii="ＭＳ Ｐゴシック" w:eastAsia="ＭＳ Ｐゴシック" w:hAnsi="ＭＳ Ｐゴシック" w:hint="eastAsia"/>
          <w:bCs w:val="0"/>
          <w:lang w:eastAsia="ja-JP"/>
        </w:rPr>
        <w:t>.0</w:t>
      </w:r>
    </w:p>
    <w:p w14:paraId="2AC4EF2D" w14:textId="77777777" w:rsidR="009B7B21" w:rsidRDefault="00000000">
      <w:pPr>
        <w:pStyle w:val="FirstParagraph"/>
        <w:jc w:val="center"/>
        <w:rPr>
          <w:lang w:eastAsia="ja-JP"/>
        </w:rPr>
      </w:pPr>
      <w:r>
        <w:rPr>
          <w:lang w:eastAsia="ja-JP"/>
        </w:rPr>
        <w:t>AIとの共同開発による設計思想・システム構成・開発統治の変遷</w:t>
      </w:r>
    </w:p>
    <w:p w14:paraId="601849FE" w14:textId="77777777" w:rsidR="009B7B21" w:rsidRDefault="00000000">
      <w:pPr>
        <w:pStyle w:val="a0"/>
        <w:jc w:val="center"/>
        <w:rPr>
          <w:lang w:eastAsia="ja-JP"/>
        </w:rPr>
      </w:pPr>
      <w:r>
        <w:rPr>
          <w:lang w:eastAsia="ja-JP"/>
        </w:rPr>
        <w:t>2026年6月 - 2026年9月7日</w:t>
      </w:r>
    </w:p>
    <w:p w14:paraId="1EDB7B67" w14:textId="77777777" w:rsidR="009B7B21" w:rsidRPr="00CF00C4" w:rsidRDefault="00000000">
      <w:pPr>
        <w:pStyle w:val="2"/>
        <w:rPr>
          <w:rFonts w:ascii="ＭＳ Ｐゴシック" w:eastAsia="ＭＳ Ｐゴシック" w:hAnsi="ＭＳ Ｐゴシック"/>
          <w:lang w:eastAsia="ja-JP"/>
        </w:rPr>
      </w:pPr>
      <w:r w:rsidRPr="00CF00C4">
        <w:rPr>
          <w:rFonts w:ascii="ＭＳ Ｐゴシック" w:eastAsia="ＭＳ Ｐゴシック" w:hAnsi="ＭＳ Ｐゴシック"/>
          <w:lang w:eastAsia="ja-JP"/>
        </w:rPr>
        <w:t>1. AZRASはどのように始まったか</w:t>
      </w:r>
    </w:p>
    <w:p w14:paraId="6519E7FF" w14:textId="77777777" w:rsidR="009B7B21" w:rsidRDefault="00000000">
      <w:pPr>
        <w:pStyle w:val="FirstParagraph"/>
        <w:rPr>
          <w:lang w:eastAsia="ja-JP"/>
        </w:rPr>
      </w:pPr>
      <w:r>
        <w:rPr>
          <w:lang w:eastAsia="ja-JP"/>
        </w:rPr>
        <w:t>AZRASのソフトウェア開発は、同一建物を異なる工法で建設した場合に、建設費・環境負荷・エネルギー・更新・事業性を同じ条件で比較したい、という実務的な課題から始まった。現存資料で確認できる初期基準日は2026年6月20日である。当初はAZRAS、2×6、RCラーメンなどの建築工法を同一プランで比較することが主目的だった。比較対象は材料数量、CO2、エネルギー、修繕、更新、建替え、50年・200年のキャッシュフローへ拡張した。</w:t>
      </w:r>
    </w:p>
    <w:p w14:paraId="2DE609B7" w14:textId="77777777" w:rsidR="009B7B21" w:rsidRDefault="00000000">
      <w:pPr>
        <w:pStyle w:val="a0"/>
        <w:rPr>
          <w:lang w:eastAsia="ja-JP"/>
        </w:rPr>
      </w:pPr>
      <w:r>
        <w:rPr>
          <w:lang w:eastAsia="ja-JP"/>
        </w:rPr>
        <w:t>特にRCの蓄熱や外断熱の効果を年間総量だけでは評価しきれないため、8760時間の時系列計算へ進み、最初の明確なソフトウェア系統である「AZRAS Dynamic Thermal Model」が成立した。</w:t>
      </w:r>
    </w:p>
    <w:p w14:paraId="6D0F706B" w14:textId="77777777" w:rsidR="009B7B21" w:rsidRPr="00CF00C4" w:rsidRDefault="00000000">
      <w:pPr>
        <w:pStyle w:val="2"/>
        <w:rPr>
          <w:rFonts w:ascii="ＭＳ Ｐゴシック" w:eastAsia="ＭＳ Ｐゴシック" w:hAnsi="ＭＳ Ｐゴシック"/>
        </w:rPr>
      </w:pPr>
      <w:r w:rsidRPr="00CF00C4">
        <w:rPr>
          <w:rFonts w:ascii="ＭＳ Ｐゴシック" w:eastAsia="ＭＳ Ｐゴシック" w:hAnsi="ＭＳ Ｐゴシック"/>
        </w:rPr>
        <w:t xml:space="preserve">2. </w:t>
      </w:r>
      <w:proofErr w:type="spellStart"/>
      <w:r w:rsidRPr="00CF00C4">
        <w:rPr>
          <w:rFonts w:ascii="ＭＳ Ｐゴシック" w:eastAsia="ＭＳ Ｐゴシック" w:hAnsi="ＭＳ Ｐゴシック"/>
        </w:rPr>
        <w:t>名称と役割の変遷</w:t>
      </w:r>
      <w:proofErr w:type="spellEnd"/>
    </w:p>
    <w:tbl>
      <w:tblPr>
        <w:tblStyle w:val="Table"/>
        <w:tblW w:w="5000" w:type="pct"/>
        <w:tblLayout w:type="fixed"/>
        <w:tblLook w:val="0020" w:firstRow="1" w:lastRow="0" w:firstColumn="0" w:lastColumn="0" w:noHBand="0" w:noVBand="0"/>
      </w:tblPr>
      <w:tblGrid>
        <w:gridCol w:w="3018"/>
        <w:gridCol w:w="3018"/>
        <w:gridCol w:w="3018"/>
      </w:tblGrid>
      <w:tr w:rsidR="009B7B21" w14:paraId="510B6F10" w14:textId="77777777" w:rsidTr="009B7B21">
        <w:trPr>
          <w:cnfStyle w:val="100000000000" w:firstRow="1" w:lastRow="0" w:firstColumn="0" w:lastColumn="0" w:oddVBand="0" w:evenVBand="0" w:oddHBand="0" w:evenHBand="0" w:firstRowFirstColumn="0" w:firstRowLastColumn="0" w:lastRowFirstColumn="0" w:lastRowLastColumn="0"/>
          <w:tblHeader/>
        </w:trPr>
        <w:tc>
          <w:tcPr>
            <w:tcW w:w="2640" w:type="dxa"/>
          </w:tcPr>
          <w:p w14:paraId="0458A8E5" w14:textId="77777777" w:rsidR="009B7B21" w:rsidRDefault="00000000">
            <w:pPr>
              <w:pStyle w:val="Compact"/>
            </w:pPr>
            <w:r>
              <w:t>時期</w:t>
            </w:r>
          </w:p>
        </w:tc>
        <w:tc>
          <w:tcPr>
            <w:tcW w:w="2640" w:type="dxa"/>
          </w:tcPr>
          <w:p w14:paraId="5853FB95" w14:textId="77777777" w:rsidR="009B7B21" w:rsidRDefault="00000000">
            <w:pPr>
              <w:pStyle w:val="Compact"/>
            </w:pPr>
            <w:r>
              <w:t>主な名称・構成</w:t>
            </w:r>
          </w:p>
        </w:tc>
        <w:tc>
          <w:tcPr>
            <w:tcW w:w="2640" w:type="dxa"/>
          </w:tcPr>
          <w:p w14:paraId="28E76B48" w14:textId="77777777" w:rsidR="009B7B21" w:rsidRDefault="00000000">
            <w:pPr>
              <w:pStyle w:val="Compact"/>
            </w:pPr>
            <w:r>
              <w:t>開発上の意味</w:t>
            </w:r>
          </w:p>
        </w:tc>
      </w:tr>
      <w:tr w:rsidR="009B7B21" w14:paraId="50AF11BA" w14:textId="77777777">
        <w:tc>
          <w:tcPr>
            <w:tcW w:w="2640" w:type="dxa"/>
          </w:tcPr>
          <w:p w14:paraId="3EB0A4B6" w14:textId="77777777" w:rsidR="009B7B21" w:rsidRDefault="00000000">
            <w:pPr>
              <w:pStyle w:val="Compact"/>
            </w:pPr>
            <w:r>
              <w:t>2026年6月</w:t>
            </w:r>
          </w:p>
        </w:tc>
        <w:tc>
          <w:tcPr>
            <w:tcW w:w="2640" w:type="dxa"/>
          </w:tcPr>
          <w:p w14:paraId="19ABA32D" w14:textId="77777777" w:rsidR="009B7B21" w:rsidRDefault="00000000">
            <w:pPr>
              <w:pStyle w:val="Compact"/>
            </w:pPr>
            <w:r>
              <w:t>建築工法比較 / Dynamic Thermal Model</w:t>
            </w:r>
          </w:p>
        </w:tc>
        <w:tc>
          <w:tcPr>
            <w:tcW w:w="2640" w:type="dxa"/>
          </w:tcPr>
          <w:p w14:paraId="689FACA5" w14:textId="77777777" w:rsidR="009B7B21" w:rsidRDefault="00000000">
            <w:pPr>
              <w:pStyle w:val="Compact"/>
            </w:pPr>
            <w:r>
              <w:t>同一条件での工法比較と8760時間熱計算</w:t>
            </w:r>
          </w:p>
        </w:tc>
      </w:tr>
      <w:tr w:rsidR="009B7B21" w14:paraId="37EF8893" w14:textId="77777777">
        <w:tc>
          <w:tcPr>
            <w:tcW w:w="2640" w:type="dxa"/>
          </w:tcPr>
          <w:p w14:paraId="6747F9F7" w14:textId="77777777" w:rsidR="009B7B21" w:rsidRDefault="00000000">
            <w:pPr>
              <w:pStyle w:val="Compact"/>
            </w:pPr>
            <w:r>
              <w:t>2026年7月</w:t>
            </w:r>
          </w:p>
        </w:tc>
        <w:tc>
          <w:tcPr>
            <w:tcW w:w="2640" w:type="dxa"/>
          </w:tcPr>
          <w:p w14:paraId="4F4D5A10" w14:textId="77777777" w:rsidR="009B7B21" w:rsidRDefault="00000000">
            <w:pPr>
              <w:pStyle w:val="Compact"/>
            </w:pPr>
            <w:r>
              <w:t>AZRAS Global Simulator</w:t>
            </w:r>
          </w:p>
        </w:tc>
        <w:tc>
          <w:tcPr>
            <w:tcW w:w="2640" w:type="dxa"/>
          </w:tcPr>
          <w:p w14:paraId="6584EFC7" w14:textId="77777777" w:rsidR="009B7B21" w:rsidRDefault="00000000">
            <w:pPr>
              <w:pStyle w:val="Compact"/>
            </w:pPr>
            <w:r>
              <w:t>熱・環境計算から図面入力、AI PDF解析へ拡張</w:t>
            </w:r>
          </w:p>
        </w:tc>
      </w:tr>
      <w:tr w:rsidR="009B7B21" w14:paraId="0F6EA7D3" w14:textId="77777777">
        <w:tc>
          <w:tcPr>
            <w:tcW w:w="2640" w:type="dxa"/>
          </w:tcPr>
          <w:p w14:paraId="7B573CBA" w14:textId="77777777" w:rsidR="009B7B21" w:rsidRDefault="00000000">
            <w:pPr>
              <w:pStyle w:val="Compact"/>
            </w:pPr>
            <w:r>
              <w:t>2026年7月</w:t>
            </w:r>
          </w:p>
        </w:tc>
        <w:tc>
          <w:tcPr>
            <w:tcW w:w="2640" w:type="dxa"/>
          </w:tcPr>
          <w:p w14:paraId="5CC196CB" w14:textId="77777777" w:rsidR="009B7B21" w:rsidRDefault="00000000">
            <w:pPr>
              <w:pStyle w:val="Compact"/>
            </w:pPr>
            <w:r>
              <w:t>AZRAS Global Building Platform</w:t>
            </w:r>
          </w:p>
        </w:tc>
        <w:tc>
          <w:tcPr>
            <w:tcW w:w="2640" w:type="dxa"/>
          </w:tcPr>
          <w:p w14:paraId="09C2C0E4" w14:textId="77777777" w:rsidR="009B7B21" w:rsidRDefault="00000000">
            <w:pPr>
              <w:pStyle w:val="Compact"/>
            </w:pPr>
            <w:r>
              <w:t>積算、鉄筋、AI認識、コスト、ハザード、立地評価まで統合</w:t>
            </w:r>
          </w:p>
        </w:tc>
      </w:tr>
      <w:tr w:rsidR="009B7B21" w14:paraId="45DFC651" w14:textId="77777777">
        <w:tc>
          <w:tcPr>
            <w:tcW w:w="2640" w:type="dxa"/>
          </w:tcPr>
          <w:p w14:paraId="2328F796" w14:textId="77777777" w:rsidR="009B7B21" w:rsidRDefault="00000000">
            <w:pPr>
              <w:pStyle w:val="Compact"/>
            </w:pPr>
            <w:r>
              <w:t>2026年7月末</w:t>
            </w:r>
          </w:p>
        </w:tc>
        <w:tc>
          <w:tcPr>
            <w:tcW w:w="2640" w:type="dxa"/>
          </w:tcPr>
          <w:p w14:paraId="75AEF63A" w14:textId="77777777" w:rsidR="009B7B21" w:rsidRDefault="00000000">
            <w:pPr>
              <w:pStyle w:val="Compact"/>
            </w:pPr>
            <w:r>
              <w:t>AZRAS Platform V9 / Project JSON</w:t>
            </w:r>
          </w:p>
        </w:tc>
        <w:tc>
          <w:tcPr>
            <w:tcW w:w="2640" w:type="dxa"/>
          </w:tcPr>
          <w:p w14:paraId="54290CE0" w14:textId="77777777" w:rsidR="009B7B21" w:rsidRDefault="00000000">
            <w:pPr>
              <w:pStyle w:val="Compact"/>
            </w:pPr>
            <w:r>
              <w:t>Module分離と共通データ契約の成立</w:t>
            </w:r>
          </w:p>
        </w:tc>
      </w:tr>
      <w:tr w:rsidR="009B7B21" w14:paraId="1002FB2D" w14:textId="77777777">
        <w:tc>
          <w:tcPr>
            <w:tcW w:w="2640" w:type="dxa"/>
          </w:tcPr>
          <w:p w14:paraId="34C7DC35" w14:textId="77777777" w:rsidR="009B7B21" w:rsidRDefault="00000000">
            <w:pPr>
              <w:pStyle w:val="Compact"/>
            </w:pPr>
            <w:r>
              <w:t>2026年7月末</w:t>
            </w:r>
          </w:p>
        </w:tc>
        <w:tc>
          <w:tcPr>
            <w:tcW w:w="2640" w:type="dxa"/>
          </w:tcPr>
          <w:p w14:paraId="72579B5E" w14:textId="77777777" w:rsidR="009B7B21" w:rsidRDefault="00000000">
            <w:pPr>
              <w:pStyle w:val="Compact"/>
            </w:pPr>
            <w:r>
              <w:t>Platform Core / Integrated Comparison / Modular</w:t>
            </w:r>
          </w:p>
        </w:tc>
        <w:tc>
          <w:tcPr>
            <w:tcW w:w="2640" w:type="dxa"/>
          </w:tcPr>
          <w:p w14:paraId="25F0553E" w14:textId="77777777" w:rsidR="009B7B21" w:rsidRDefault="00000000">
            <w:pPr>
              <w:pStyle w:val="Compact"/>
            </w:pPr>
            <w:r>
              <w:t>巨大統合型から疎結合アーキテクチャへ</w:t>
            </w:r>
          </w:p>
        </w:tc>
      </w:tr>
      <w:tr w:rsidR="009B7B21" w14:paraId="76A1B070" w14:textId="77777777">
        <w:tc>
          <w:tcPr>
            <w:tcW w:w="2640" w:type="dxa"/>
          </w:tcPr>
          <w:p w14:paraId="5D6AA40B" w14:textId="77777777" w:rsidR="009B7B21" w:rsidRDefault="00000000">
            <w:pPr>
              <w:pStyle w:val="Compact"/>
            </w:pPr>
            <w:r>
              <w:t>2026年8月5日</w:t>
            </w:r>
          </w:p>
        </w:tc>
        <w:tc>
          <w:tcPr>
            <w:tcW w:w="2640" w:type="dxa"/>
          </w:tcPr>
          <w:p w14:paraId="5F242AC3" w14:textId="77777777" w:rsidR="009B7B21" w:rsidRDefault="00000000">
            <w:pPr>
              <w:pStyle w:val="Compact"/>
            </w:pPr>
            <w:r>
              <w:t>Standalone Applications</w:t>
            </w:r>
          </w:p>
        </w:tc>
        <w:tc>
          <w:tcPr>
            <w:tcW w:w="2640" w:type="dxa"/>
          </w:tcPr>
          <w:p w14:paraId="098962D8" w14:textId="77777777" w:rsidR="009B7B21" w:rsidRDefault="00000000">
            <w:pPr>
              <w:pStyle w:val="Compact"/>
            </w:pPr>
            <w:r>
              <w:t>Planning / Compare / Evaluation / Disaster / Professional / Twin等へ分離</w:t>
            </w:r>
          </w:p>
        </w:tc>
      </w:tr>
      <w:tr w:rsidR="009B7B21" w14:paraId="17FF5B31" w14:textId="77777777">
        <w:tc>
          <w:tcPr>
            <w:tcW w:w="2640" w:type="dxa"/>
          </w:tcPr>
          <w:p w14:paraId="33FAACD4" w14:textId="77777777" w:rsidR="009B7B21" w:rsidRDefault="00000000">
            <w:pPr>
              <w:pStyle w:val="Compact"/>
            </w:pPr>
            <w:r>
              <w:t>2026年8月中旬</w:t>
            </w:r>
          </w:p>
        </w:tc>
        <w:tc>
          <w:tcPr>
            <w:tcW w:w="2640" w:type="dxa"/>
          </w:tcPr>
          <w:p w14:paraId="32C50979" w14:textId="77777777" w:rsidR="009B7B21" w:rsidRDefault="00000000">
            <w:pPr>
              <w:pStyle w:val="Compact"/>
            </w:pPr>
            <w:r>
              <w:t>AZRAS System Initial Release -&gt; v1.0.0</w:t>
            </w:r>
          </w:p>
        </w:tc>
        <w:tc>
          <w:tcPr>
            <w:tcW w:w="2640" w:type="dxa"/>
          </w:tcPr>
          <w:p w14:paraId="4C09333C" w14:textId="77777777" w:rsidR="009B7B21" w:rsidRDefault="00000000">
            <w:pPr>
              <w:pStyle w:val="Compact"/>
            </w:pPr>
            <w:r>
              <w:t>製品群としての正式リリース段階</w:t>
            </w:r>
          </w:p>
        </w:tc>
      </w:tr>
      <w:tr w:rsidR="009B7B21" w14:paraId="33DD73CD" w14:textId="77777777">
        <w:tc>
          <w:tcPr>
            <w:tcW w:w="2640" w:type="dxa"/>
          </w:tcPr>
          <w:p w14:paraId="3A5A2AD6" w14:textId="77777777" w:rsidR="009B7B21" w:rsidRDefault="00000000">
            <w:pPr>
              <w:pStyle w:val="Compact"/>
            </w:pPr>
            <w:r>
              <w:t>2026年8月23日</w:t>
            </w:r>
          </w:p>
        </w:tc>
        <w:tc>
          <w:tcPr>
            <w:tcW w:w="2640" w:type="dxa"/>
          </w:tcPr>
          <w:p w14:paraId="302A2AE3" w14:textId="77777777" w:rsidR="009B7B21" w:rsidRDefault="00000000">
            <w:pPr>
              <w:pStyle w:val="Compact"/>
            </w:pPr>
            <w:r>
              <w:t>AZRAS Apps v1.0.0</w:t>
            </w:r>
          </w:p>
        </w:tc>
        <w:tc>
          <w:tcPr>
            <w:tcW w:w="2640" w:type="dxa"/>
          </w:tcPr>
          <w:p w14:paraId="5CBC0374" w14:textId="77777777" w:rsidR="009B7B21" w:rsidRDefault="00000000">
            <w:pPr>
              <w:pStyle w:val="Compact"/>
            </w:pPr>
            <w:r>
              <w:t>独立アプリ群としての位置付けを明確化</w:t>
            </w:r>
          </w:p>
        </w:tc>
      </w:tr>
      <w:tr w:rsidR="009B7B21" w14:paraId="40788663" w14:textId="77777777">
        <w:tc>
          <w:tcPr>
            <w:tcW w:w="2640" w:type="dxa"/>
          </w:tcPr>
          <w:p w14:paraId="51B04036" w14:textId="77777777" w:rsidR="009B7B21" w:rsidRDefault="00000000">
            <w:pPr>
              <w:pStyle w:val="Compact"/>
            </w:pPr>
            <w:r>
              <w:t>2026年8月下旬</w:t>
            </w:r>
          </w:p>
        </w:tc>
        <w:tc>
          <w:tcPr>
            <w:tcW w:w="2640" w:type="dxa"/>
          </w:tcPr>
          <w:p w14:paraId="719C2F0E" w14:textId="77777777" w:rsidR="009B7B21" w:rsidRDefault="00000000">
            <w:pPr>
              <w:pStyle w:val="Compact"/>
            </w:pPr>
            <w:r>
              <w:t>AI Common Exchange / Multi-AI</w:t>
            </w:r>
          </w:p>
        </w:tc>
        <w:tc>
          <w:tcPr>
            <w:tcW w:w="2640" w:type="dxa"/>
          </w:tcPr>
          <w:p w14:paraId="0FC62B51" w14:textId="77777777" w:rsidR="009B7B21" w:rsidRDefault="00000000">
            <w:pPr>
              <w:pStyle w:val="Compact"/>
            </w:pPr>
            <w:r>
              <w:t>任意AIとAZRASを接続する共通交換仕様へ</w:t>
            </w:r>
          </w:p>
        </w:tc>
      </w:tr>
      <w:tr w:rsidR="009B7B21" w14:paraId="44B87656" w14:textId="77777777">
        <w:tc>
          <w:tcPr>
            <w:tcW w:w="2640" w:type="dxa"/>
          </w:tcPr>
          <w:p w14:paraId="6AC85423" w14:textId="77777777" w:rsidR="009B7B21" w:rsidRDefault="00000000">
            <w:pPr>
              <w:pStyle w:val="Compact"/>
            </w:pPr>
            <w:r>
              <w:lastRenderedPageBreak/>
              <w:t>2026年8月31日</w:t>
            </w:r>
          </w:p>
        </w:tc>
        <w:tc>
          <w:tcPr>
            <w:tcW w:w="2640" w:type="dxa"/>
          </w:tcPr>
          <w:p w14:paraId="2250AA31" w14:textId="77777777" w:rsidR="009B7B21" w:rsidRDefault="00000000">
            <w:pPr>
              <w:pStyle w:val="Compact"/>
            </w:pPr>
            <w:r>
              <w:t>AZRAS DEVELOPMENT CONSTITUTION v0.1</w:t>
            </w:r>
          </w:p>
        </w:tc>
        <w:tc>
          <w:tcPr>
            <w:tcW w:w="2640" w:type="dxa"/>
          </w:tcPr>
          <w:p w14:paraId="0B9DEDCD" w14:textId="77777777" w:rsidR="009B7B21" w:rsidRDefault="00000000">
            <w:pPr>
              <w:pStyle w:val="Compact"/>
            </w:pPr>
            <w:r>
              <w:t>正式決定をAI記憶ではなくプロジェクト側で保持する開発統治へ</w:t>
            </w:r>
          </w:p>
        </w:tc>
      </w:tr>
    </w:tbl>
    <w:p w14:paraId="73A0A92A" w14:textId="77777777" w:rsidR="009B7B21" w:rsidRPr="00CF00C4" w:rsidRDefault="00000000">
      <w:pPr>
        <w:pStyle w:val="2"/>
        <w:rPr>
          <w:rFonts w:ascii="ＭＳ Ｐゴシック" w:eastAsia="ＭＳ Ｐゴシック" w:hAnsi="ＭＳ Ｐゴシック"/>
        </w:rPr>
      </w:pPr>
      <w:r w:rsidRPr="00CF00C4">
        <w:rPr>
          <w:rFonts w:ascii="ＭＳ Ｐゴシック" w:eastAsia="ＭＳ Ｐゴシック" w:hAnsi="ＭＳ Ｐゴシック"/>
        </w:rPr>
        <w:t xml:space="preserve">3. </w:t>
      </w:r>
      <w:proofErr w:type="spellStart"/>
      <w:r w:rsidRPr="00CF00C4">
        <w:rPr>
          <w:rFonts w:ascii="ＭＳ Ｐゴシック" w:eastAsia="ＭＳ Ｐゴシック" w:hAnsi="ＭＳ Ｐゴシック"/>
        </w:rPr>
        <w:t>大きな技術的転換点</w:t>
      </w:r>
      <w:proofErr w:type="spellEnd"/>
    </w:p>
    <w:p w14:paraId="7586ADFC" w14:textId="77777777" w:rsidR="009B7B21" w:rsidRDefault="00000000">
      <w:pPr>
        <w:pStyle w:val="FirstParagraph"/>
        <w:rPr>
          <w:lang w:eastAsia="ja-JP"/>
        </w:rPr>
      </w:pPr>
      <w:r>
        <w:t xml:space="preserve">2026年7月にはDrawing Input、AI PDF </w:t>
      </w:r>
      <w:proofErr w:type="spellStart"/>
      <w:r>
        <w:t>Import、AI</w:t>
      </w:r>
      <w:proofErr w:type="spellEnd"/>
      <w:r>
        <w:t xml:space="preserve"> </w:t>
      </w:r>
      <w:proofErr w:type="spellStart"/>
      <w:r>
        <w:t>Recognition、Automatic</w:t>
      </w:r>
      <w:proofErr w:type="spellEnd"/>
      <w:r>
        <w:t xml:space="preserve"> </w:t>
      </w:r>
      <w:proofErr w:type="spellStart"/>
      <w:r>
        <w:t>Takeoffといった機能が現れ、図面から数量を読み取る方向が明確になった。</w:t>
      </w:r>
      <w:r>
        <w:rPr>
          <w:lang w:eastAsia="ja-JP"/>
        </w:rPr>
        <w:t>AI</w:t>
      </w:r>
      <w:proofErr w:type="spellEnd"/>
      <w:r>
        <w:rPr>
          <w:lang w:eastAsia="ja-JP"/>
        </w:rPr>
        <w:t>積算は8月末に突然始まったものではなく、7月から連続して発展してきた機能である。</w:t>
      </w:r>
    </w:p>
    <w:p w14:paraId="4ACD94F5" w14:textId="77777777" w:rsidR="009B7B21" w:rsidRDefault="00000000">
      <w:pPr>
        <w:pStyle w:val="a0"/>
        <w:rPr>
          <w:lang w:eastAsia="ja-JP"/>
        </w:rPr>
      </w:pPr>
      <w:r>
        <w:rPr>
          <w:lang w:eastAsia="ja-JP"/>
        </w:rPr>
        <w:t>初期にはAIが認識した部位を元PDF上で色分けして人間が確認する方式を試した。しかし図面座標、線・文字・ハッチ、PDF生成方式の差を安定して吸収することが難しく、色分け自体は主方式にならなかった。一方、「AIが何を見て判断したかを検証可能にする」という思想は、Source、Evidence、Calculation Basis、Confidence、Uncertaintyとして継承された。</w:t>
      </w:r>
    </w:p>
    <w:p w14:paraId="4BD850F2" w14:textId="77777777" w:rsidR="009B7B21" w:rsidRDefault="00000000">
      <w:pPr>
        <w:pStyle w:val="a0"/>
        <w:rPr>
          <w:lang w:eastAsia="ja-JP"/>
        </w:rPr>
      </w:pPr>
      <w:r>
        <w:rPr>
          <w:lang w:eastAsia="ja-JP"/>
        </w:rPr>
        <w:t>CADのベクトル情報を直接解析する試行も行ったが、実際のCADには設計者やソフトごとのレイヤー、ブロック、線種、寸法表現、記号の差が大きい。万能CADパーサーをAZRAS内部に維持する方式から、PDFを標準的な実務入力とし、CAD/DXF/IFCは外部AIやInterpreterが読み、共通交換形式へ変換してAZRASへ渡す方式へ転換した。</w:t>
      </w:r>
    </w:p>
    <w:p w14:paraId="44A63ADE" w14:textId="77777777" w:rsidR="009B7B21" w:rsidRPr="00CF00C4" w:rsidRDefault="00000000">
      <w:pPr>
        <w:pStyle w:val="2"/>
        <w:rPr>
          <w:rFonts w:ascii="ＭＳ Ｐゴシック" w:eastAsia="ＭＳ Ｐゴシック" w:hAnsi="ＭＳ Ｐゴシック"/>
          <w:lang w:eastAsia="ja-JP"/>
        </w:rPr>
      </w:pPr>
      <w:r w:rsidRPr="00CF00C4">
        <w:rPr>
          <w:rFonts w:ascii="ＭＳ Ｐゴシック" w:eastAsia="ＭＳ Ｐゴシック" w:hAnsi="ＭＳ Ｐゴシック"/>
          <w:lang w:eastAsia="ja-JP"/>
        </w:rPr>
        <w:t>4. 巨大統合型から独立アプリへ</w:t>
      </w:r>
    </w:p>
    <w:p w14:paraId="382D2027" w14:textId="77777777" w:rsidR="009B7B21" w:rsidRDefault="00000000">
      <w:pPr>
        <w:pStyle w:val="FirstParagraph"/>
        <w:rPr>
          <w:lang w:eastAsia="ja-JP"/>
        </w:rPr>
      </w:pPr>
      <w:r>
        <w:rPr>
          <w:lang w:eastAsia="ja-JP"/>
        </w:rPr>
        <w:t>機能が増えるほど、一つの巨大アプリに全機能を持たせる方式では依存関係と回帰リスクが増大した。2026年7月末にPlatform Modularが成立し、8月5日にはPlanning Basic、Compare、Evaluation、Disaster、Professional、TwinなどがStandalone Applicationとして分離された。</w:t>
      </w:r>
    </w:p>
    <w:p w14:paraId="36375947" w14:textId="77777777" w:rsidR="009B7B21" w:rsidRDefault="00000000">
      <w:pPr>
        <w:pStyle w:val="a0"/>
        <w:rPr>
          <w:lang w:eastAsia="ja-JP"/>
        </w:rPr>
      </w:pPr>
      <w:r>
        <w:rPr>
          <w:lang w:eastAsia="ja-JP"/>
        </w:rPr>
        <w:t>この転換を支えた中心概念がProject JSONである。Project JSONは単なる保存ファイルではなく、独立したAZRASアプリ間を接続する共通データ契約として位置付けられた。Planningで作成したプロジェクト情報をEvaluationやFeasibilityが読み、Compareが複数工法を横断比較する疎結合型ワークフローが可能になった。</w:t>
      </w:r>
    </w:p>
    <w:p w14:paraId="0468BBDC" w14:textId="77777777" w:rsidR="009B7B21" w:rsidRPr="00CF00C4" w:rsidRDefault="00000000">
      <w:pPr>
        <w:pStyle w:val="2"/>
        <w:rPr>
          <w:rFonts w:ascii="ＭＳ Ｐゴシック" w:eastAsia="ＭＳ Ｐゴシック" w:hAnsi="ＭＳ Ｐゴシック"/>
          <w:lang w:eastAsia="ja-JP"/>
        </w:rPr>
      </w:pPr>
      <w:r w:rsidRPr="00CF00C4">
        <w:rPr>
          <w:rFonts w:ascii="ＭＳ Ｐゴシック" w:eastAsia="ＭＳ Ｐゴシック" w:hAnsi="ＭＳ Ｐゴシック"/>
          <w:lang w:eastAsia="ja-JP"/>
        </w:rPr>
        <w:t>5. 実図面検証がAI積算の役割を変えた</w:t>
      </w:r>
    </w:p>
    <w:p w14:paraId="40FB89D7" w14:textId="77777777" w:rsidR="009B7B21" w:rsidRDefault="00000000">
      <w:pPr>
        <w:pStyle w:val="FirstParagraph"/>
        <w:rPr>
          <w:lang w:eastAsia="ja-JP"/>
        </w:rPr>
      </w:pPr>
      <w:r>
        <w:rPr>
          <w:lang w:eastAsia="ja-JP"/>
        </w:rPr>
        <w:t>2026年8月下旬、実際のS造設計図一式を用いた積算検証へ進んだ。柱・梁だけでなく、ベースプレート、アンカーボルト、継手ボルト、プレート、胴縁、取付ボルト、標準図に記載された鉄筋の定着・継手・圧接など、複数図面を横断しなければ数量を確定できないことが明確になった。</w:t>
      </w:r>
    </w:p>
    <w:p w14:paraId="0CE3C950" w14:textId="77777777" w:rsidR="009B7B21" w:rsidRDefault="00000000">
      <w:pPr>
        <w:pStyle w:val="a0"/>
        <w:rPr>
          <w:lang w:eastAsia="ja-JP"/>
        </w:rPr>
      </w:pPr>
      <w:r>
        <w:rPr>
          <w:lang w:eastAsia="ja-JP"/>
        </w:rPr>
        <w:t>この経験からAIの役割は「1枚の図面を読む」ことではなく、「平面図、伏図、軸組図、断面図、標準図、詳細図、部材表、仕上表、建具表、設備図などを相互参照し、根拠付きで数量を提示する」ことへ変化した。</w:t>
      </w:r>
    </w:p>
    <w:p w14:paraId="19AEAB20" w14:textId="77777777" w:rsidR="009B7B21" w:rsidRPr="00CF00C4" w:rsidRDefault="00000000">
      <w:pPr>
        <w:pStyle w:val="2"/>
        <w:rPr>
          <w:rFonts w:ascii="ＭＳ Ｐゴシック" w:eastAsia="ＭＳ Ｐゴシック" w:hAnsi="ＭＳ Ｐゴシック"/>
        </w:rPr>
      </w:pPr>
      <w:r w:rsidRPr="00CF00C4">
        <w:rPr>
          <w:rFonts w:ascii="ＭＳ Ｐゴシック" w:eastAsia="ＭＳ Ｐゴシック" w:hAnsi="ＭＳ Ｐゴシック"/>
        </w:rPr>
        <w:lastRenderedPageBreak/>
        <w:t xml:space="preserve">6. </w:t>
      </w:r>
      <w:proofErr w:type="spellStart"/>
      <w:r w:rsidRPr="00CF00C4">
        <w:rPr>
          <w:rFonts w:ascii="ＭＳ Ｐゴシック" w:eastAsia="ＭＳ Ｐゴシック" w:hAnsi="ＭＳ Ｐゴシック"/>
        </w:rPr>
        <w:t>AI非依存</w:t>
      </w:r>
      <w:proofErr w:type="spellEnd"/>
      <w:r w:rsidRPr="00CF00C4">
        <w:rPr>
          <w:rFonts w:ascii="ＭＳ Ｐゴシック" w:eastAsia="ＭＳ Ｐゴシック" w:hAnsi="ＭＳ Ｐゴシック"/>
        </w:rPr>
        <w:t xml:space="preserve"> - Any AI Architecture</w:t>
      </w:r>
    </w:p>
    <w:p w14:paraId="5CE7B2C8" w14:textId="77777777" w:rsidR="009B7B21" w:rsidRDefault="00000000">
      <w:pPr>
        <w:pStyle w:val="FirstParagraph"/>
        <w:rPr>
          <w:lang w:eastAsia="ja-JP"/>
        </w:rPr>
      </w:pPr>
      <w:r>
        <w:t xml:space="preserve">AZRASは特定のAIモデルやAI事業者に固定しない。基本構造は「Source Data -&gt; Any AI -&gt; AZRAS Common Exchange Data -&gt; </w:t>
      </w:r>
      <w:proofErr w:type="spellStart"/>
      <w:r>
        <w:t>AZRAS」である。</w:t>
      </w:r>
      <w:r>
        <w:rPr>
          <w:lang w:eastAsia="ja-JP"/>
        </w:rPr>
        <w:t>AI</w:t>
      </w:r>
      <w:proofErr w:type="spellEnd"/>
      <w:r>
        <w:rPr>
          <w:lang w:eastAsia="ja-JP"/>
        </w:rPr>
        <w:t>は図面理解、記号・注記・表・寸法認識、図面横断、数量算出、翻訳などを担当し、AZRASはProject Data、再現可能な計算、環境・経済・事業評価、長期キャッシュフロー、比較、バージョン管理、検証を担当する。</w:t>
      </w:r>
    </w:p>
    <w:p w14:paraId="3FC2796C" w14:textId="77777777" w:rsidR="009B7B21" w:rsidRDefault="00000000">
      <w:pPr>
        <w:pStyle w:val="a0"/>
      </w:pPr>
      <w:proofErr w:type="spellStart"/>
      <w:r>
        <w:t>AIの出力は単なる数量ではなく、Quantity</w:t>
      </w:r>
      <w:proofErr w:type="spellEnd"/>
      <w:r>
        <w:t xml:space="preserve"> + Source + Evidence + Calculation Basis + Confidence + Uncertaintyを基本とする。複数AIを利用する場合も、原回答と根拠を保持し、AI同士の結果だけを無条件に正解としない。</w:t>
      </w:r>
    </w:p>
    <w:p w14:paraId="22B90B1D" w14:textId="77777777" w:rsidR="009B7B21" w:rsidRPr="00CF00C4" w:rsidRDefault="00000000">
      <w:pPr>
        <w:pStyle w:val="2"/>
        <w:rPr>
          <w:rFonts w:ascii="ＭＳ Ｐゴシック" w:eastAsia="ＭＳ Ｐゴシック" w:hAnsi="ＭＳ Ｐゴシック"/>
          <w:lang w:eastAsia="ja-JP"/>
        </w:rPr>
      </w:pPr>
      <w:r w:rsidRPr="00CF00C4">
        <w:rPr>
          <w:rFonts w:ascii="ＭＳ Ｐゴシック" w:eastAsia="ＭＳ Ｐゴシック" w:hAnsi="ＭＳ Ｐゴシック"/>
          <w:lang w:eastAsia="ja-JP"/>
        </w:rPr>
        <w:t>7. 確定・想定・不明を分ける</w:t>
      </w:r>
    </w:p>
    <w:p w14:paraId="2FEC1A13" w14:textId="77777777" w:rsidR="009B7B21" w:rsidRDefault="00000000">
      <w:pPr>
        <w:pStyle w:val="FirstParagraph"/>
        <w:rPr>
          <w:lang w:eastAsia="ja-JP"/>
        </w:rPr>
      </w:pPr>
      <w:r>
        <w:rPr>
          <w:lang w:eastAsia="ja-JP"/>
        </w:rPr>
        <w:t>図面から確定できる数量は確定値として扱う。図面だけでは確定できなくても合理的根拠から算出できる数量は数値を保持して想定・暫定として区別する。合理的な数量すら決められないものだけを人間確認対象とする。これにより、不確実性を隠さず、同時に少し不明なだけで積算全体を停止しない構造を目指した。</w:t>
      </w:r>
    </w:p>
    <w:p w14:paraId="0FB109C5" w14:textId="77777777" w:rsidR="009B7B21" w:rsidRPr="00CF00C4" w:rsidRDefault="00000000">
      <w:pPr>
        <w:pStyle w:val="2"/>
        <w:rPr>
          <w:rFonts w:ascii="ＭＳ Ｐゴシック" w:eastAsia="ＭＳ Ｐゴシック" w:hAnsi="ＭＳ Ｐゴシック"/>
          <w:lang w:eastAsia="ja-JP"/>
        </w:rPr>
      </w:pPr>
      <w:r w:rsidRPr="00CF00C4">
        <w:rPr>
          <w:rFonts w:ascii="ＭＳ Ｐゴシック" w:eastAsia="ＭＳ Ｐゴシック" w:hAnsi="ＭＳ Ｐゴシック"/>
          <w:lang w:eastAsia="ja-JP"/>
        </w:rPr>
        <w:t>8. PATCH連鎖から横断監査・回帰テストへ</w:t>
      </w:r>
    </w:p>
    <w:p w14:paraId="15D08D41" w14:textId="77777777" w:rsidR="009B7B21" w:rsidRDefault="00000000">
      <w:pPr>
        <w:pStyle w:val="FirstParagraph"/>
        <w:rPr>
          <w:lang w:eastAsia="ja-JP"/>
        </w:rPr>
      </w:pPr>
      <w:r>
        <w:rPr>
          <w:lang w:eastAsia="ja-JP"/>
        </w:rPr>
        <w:t>短期間の急速な開発によってPlanning BasicはPATCH 400を超え、他アプリも多数の修正を重ねた。その過程で、一箇所を直すと以前正常だった別の箇所が壊れる回帰問題が顕在化した。</w:t>
      </w:r>
    </w:p>
    <w:p w14:paraId="7CC7C369" w14:textId="77777777" w:rsidR="009B7B21" w:rsidRDefault="00000000">
      <w:pPr>
        <w:pStyle w:val="a0"/>
        <w:rPr>
          <w:lang w:eastAsia="ja-JP"/>
        </w:rPr>
      </w:pPr>
      <w:r>
        <w:rPr>
          <w:lang w:eastAsia="ja-JP"/>
        </w:rPr>
        <w:t>そのため、個別症状だけを修正するのではなく、同種・同系統の処理を横断監査し、既存正常機能まで含めて回帰テストする方針へ移行した。REBUILT版の作成や、ユーザーに毎回GUI確認を求めずコード側で可能な限り検証してから重要な節目だけ画面確認する運用も、この安定化方針の一部である。</w:t>
      </w:r>
    </w:p>
    <w:p w14:paraId="16A09A51" w14:textId="77777777" w:rsidR="009B7B21" w:rsidRPr="00CF00C4" w:rsidRDefault="00000000">
      <w:pPr>
        <w:pStyle w:val="2"/>
        <w:rPr>
          <w:rFonts w:ascii="ＭＳ Ｐゴシック" w:eastAsia="ＭＳ Ｐゴシック" w:hAnsi="ＭＳ Ｐゴシック"/>
          <w:lang w:eastAsia="ja-JP"/>
        </w:rPr>
      </w:pPr>
      <w:r w:rsidRPr="00CF00C4">
        <w:rPr>
          <w:rFonts w:ascii="ＭＳ Ｐゴシック" w:eastAsia="ＭＳ Ｐゴシック" w:hAnsi="ＭＳ Ｐゴシック"/>
          <w:lang w:eastAsia="ja-JP"/>
        </w:rPr>
        <w:t>9. Cost Provider構想と積算の二層化</w:t>
      </w:r>
    </w:p>
    <w:p w14:paraId="2A4CE2FA" w14:textId="77777777" w:rsidR="009B7B21" w:rsidRDefault="00000000">
      <w:pPr>
        <w:pStyle w:val="FirstParagraph"/>
        <w:rPr>
          <w:lang w:eastAsia="ja-JP"/>
        </w:rPr>
      </w:pPr>
      <w:r>
        <w:rPr>
          <w:lang w:eastAsia="ja-JP"/>
        </w:rPr>
        <w:t>世界各国の建設単価や地域条件をAZRAS内部へすべて固定実装すると、制度変更、地域差、データ更新、商用データ契約の違いに追随しにくい。このためCost Provider共通インターフェースと国別Provider登録・選択機構を設ける方向が定められた。</w:t>
      </w:r>
    </w:p>
    <w:p w14:paraId="62AC6A95" w14:textId="77777777" w:rsidR="009B7B21" w:rsidRDefault="00000000">
      <w:pPr>
        <w:pStyle w:val="a0"/>
        <w:rPr>
          <w:lang w:eastAsia="ja-JP"/>
        </w:rPr>
      </w:pPr>
      <w:r>
        <w:rPr>
          <w:lang w:eastAsia="ja-JP"/>
        </w:rPr>
        <w:t>重要なのは、Provider契約がない場合でも計算を止めないことである。01_AZRAS_Planningには、(A) 各国の有料単価データをModule 1の数量へ適用し、設計図一式から詳細な建設費・見積作成補助へつなげるPaid Cost Providerと、(B) 有料サイトを使わず、平面・立面・断面・仕上・建具仕様程度の図面から国別・工法別・気候別の概算建設費を算出し、事業計画や200年評価へ利用するAZRAS Approximate Cost Providerの双方を持たせる。</w:t>
      </w:r>
    </w:p>
    <w:p w14:paraId="0B81C733" w14:textId="77777777" w:rsidR="009B7B21" w:rsidRDefault="00000000">
      <w:pPr>
        <w:pStyle w:val="a0"/>
        <w:rPr>
          <w:lang w:eastAsia="ja-JP"/>
        </w:rPr>
      </w:pPr>
      <w:r>
        <w:rPr>
          <w:lang w:eastAsia="ja-JP"/>
        </w:rPr>
        <w:t>Module 1は数量・根拠レイヤーとし、価格判断をできるだけ分離する。詳細数量は、概算側で個別価格化しない場合でも消さずに保持し、Paid Providerで詳細見積を行う際にも再利用できる構造を基本とする。</w:t>
      </w:r>
    </w:p>
    <w:p w14:paraId="0CC3A6AE" w14:textId="77777777" w:rsidR="009B7B21" w:rsidRPr="00CF00C4" w:rsidRDefault="00000000">
      <w:pPr>
        <w:pStyle w:val="2"/>
        <w:rPr>
          <w:rFonts w:ascii="ＭＳ Ｐゴシック" w:eastAsia="ＭＳ Ｐゴシック" w:hAnsi="ＭＳ Ｐゴシック"/>
        </w:rPr>
      </w:pPr>
      <w:r w:rsidRPr="00CF00C4">
        <w:rPr>
          <w:rFonts w:ascii="ＭＳ Ｐゴシック" w:eastAsia="ＭＳ Ｐゴシック" w:hAnsi="ＭＳ Ｐゴシック"/>
        </w:rPr>
        <w:lastRenderedPageBreak/>
        <w:t xml:space="preserve">10. 01_AZRAS_PlanningとAZRAS </w:t>
      </w:r>
      <w:proofErr w:type="spellStart"/>
      <w:r w:rsidRPr="00CF00C4">
        <w:rPr>
          <w:rFonts w:ascii="ＭＳ Ｐゴシック" w:eastAsia="ＭＳ Ｐゴシック" w:hAnsi="ＭＳ Ｐゴシック"/>
        </w:rPr>
        <w:t>Professionalの役割再確認</w:t>
      </w:r>
      <w:proofErr w:type="spellEnd"/>
    </w:p>
    <w:p w14:paraId="48DE08B3" w14:textId="77777777" w:rsidR="009B7B21" w:rsidRDefault="00000000">
      <w:pPr>
        <w:pStyle w:val="FirstParagraph"/>
      </w:pPr>
      <w:r>
        <w:t>従来の「01_AZRAS_Planning_Basic」は、将来的にBasicを外して「01_AZRAS_Planning」とする方針である。Paid Cost ProviderとAZRAS Approximate Cost Providerはいずれもこの01_AZRAS_Planning内部に置く。Paid ProviderをAZRAS Professionalとするのではない。</w:t>
      </w:r>
    </w:p>
    <w:p w14:paraId="09008A4E" w14:textId="77777777" w:rsidR="009B7B21" w:rsidRDefault="00000000">
      <w:pPr>
        <w:pStyle w:val="a0"/>
        <w:rPr>
          <w:lang w:eastAsia="ja-JP"/>
        </w:rPr>
      </w:pPr>
      <w:r>
        <w:rPr>
          <w:lang w:eastAsia="ja-JP"/>
        </w:rPr>
        <w:t>AZRAS Professionalは別の役割を持つ。AZRASが保有する建物、環境、エネルギー、数量、評価等のデータを利用し、各国の環境系評価・審査・認証・申請書について、AZRAS側で根拠を持って算出済みの項目を記入・整理し、申請資料作成を支援する方向である。詳細範囲は実装前に開発者と確定する。</w:t>
      </w:r>
    </w:p>
    <w:p w14:paraId="74C68C8D" w14:textId="77777777" w:rsidR="009B7B21" w:rsidRPr="00CF00C4" w:rsidRDefault="00000000">
      <w:pPr>
        <w:pStyle w:val="2"/>
        <w:rPr>
          <w:rFonts w:ascii="ＭＳ Ｐゴシック" w:eastAsia="ＭＳ Ｐゴシック" w:hAnsi="ＭＳ Ｐゴシック"/>
          <w:lang w:eastAsia="ja-JP"/>
        </w:rPr>
      </w:pPr>
      <w:r w:rsidRPr="00CF00C4">
        <w:rPr>
          <w:rFonts w:ascii="ＭＳ Ｐゴシック" w:eastAsia="ＭＳ Ｐゴシック" w:hAnsi="ＭＳ Ｐゴシック"/>
          <w:lang w:eastAsia="ja-JP"/>
        </w:rPr>
        <w:t>11. 2026年8月31日 - 「AIの記憶」から「プロジェクトが正式決定を保持する」方式へ</w:t>
      </w:r>
    </w:p>
    <w:p w14:paraId="000B0299" w14:textId="77777777" w:rsidR="009B7B21" w:rsidRDefault="00000000">
      <w:pPr>
        <w:pStyle w:val="FirstParagraph"/>
        <w:rPr>
          <w:lang w:eastAsia="ja-JP"/>
        </w:rPr>
      </w:pPr>
      <w:r>
        <w:rPr>
          <w:lang w:eastAsia="ja-JP"/>
        </w:rPr>
        <w:t>2026年8月31日、長期間のPATCH開発を通じて別種の問題が明確になった。問題は単純なAIの記憶容量不足ではなく、「昔の決定 -&gt; 途中の仕様変更 -&gt; PATCHによる例外 -&gt; 新しい決定 -&gt; さらに修正」という上書きの連鎖の中で、人間とAIの双方が「現在どの決定が最上位の正式決定なのか」を取り違え得ることであった。</w:t>
      </w:r>
    </w:p>
    <w:p w14:paraId="416F6759" w14:textId="77777777" w:rsidR="009B7B21" w:rsidRDefault="00000000">
      <w:pPr>
        <w:pStyle w:val="a0"/>
        <w:rPr>
          <w:lang w:eastAsia="ja-JP"/>
        </w:rPr>
      </w:pPr>
      <w:proofErr w:type="spellStart"/>
      <w:r>
        <w:t>実際にCost</w:t>
      </w:r>
      <w:proofErr w:type="spellEnd"/>
      <w:r>
        <w:t xml:space="preserve"> ProviderとProfessionalの役割、詳細数量の価格化方針など、以前に決めた上位設計よりも直近PATCHの局所判断が優先されかけた。</w:t>
      </w:r>
      <w:r>
        <w:rPr>
          <w:lang w:eastAsia="ja-JP"/>
        </w:rPr>
        <w:t>この経験から、重要な設計判断をAIの会話記憶だけに依存させる開発方法そのものを改める必要があると判断した。</w:t>
      </w:r>
    </w:p>
    <w:p w14:paraId="69DC8AE9" w14:textId="77777777" w:rsidR="009B7B21" w:rsidRDefault="00000000">
      <w:pPr>
        <w:pStyle w:val="a0"/>
        <w:rPr>
          <w:lang w:eastAsia="ja-JP"/>
        </w:rPr>
      </w:pPr>
      <w:proofErr w:type="spellStart"/>
      <w:r>
        <w:t>そこで、AZRASプロジェクト自身が現在の最上位設計方針を保持する正式仕様ファイル「AZRAS</w:t>
      </w:r>
      <w:proofErr w:type="spellEnd"/>
      <w:r>
        <w:t xml:space="preserve"> DEVELOPMENT </w:t>
      </w:r>
      <w:proofErr w:type="spellStart"/>
      <w:r>
        <w:t>CONSTITUTION」を新設した</w:t>
      </w:r>
      <w:proofErr w:type="spellEnd"/>
      <w:r>
        <w:t>。</w:t>
      </w:r>
      <w:r>
        <w:rPr>
          <w:lang w:eastAsia="ja-JP"/>
        </w:rPr>
        <w:t>これはPATCH履歴ではなく、現在有効な正式決定、製品境界、変更承認、数量と価格の責任分離、PATCH規則、監査規則などを小さく保持するための文書である。</w:t>
      </w:r>
    </w:p>
    <w:p w14:paraId="4CCA025B" w14:textId="77777777" w:rsidR="009B7B21" w:rsidRDefault="00000000">
      <w:pPr>
        <w:pStyle w:val="a0"/>
        <w:rPr>
          <w:lang w:eastAsia="ja-JP"/>
        </w:rPr>
      </w:pPr>
      <w:r>
        <w:rPr>
          <w:lang w:eastAsia="ja-JP"/>
        </w:rPr>
        <w:t>以後、開発・監査・PATCH・リファクタリング・仕様変更に入る前にこの正式仕様を確認する。時間のかかる作業、大量の個別データ整備、基本方式・データ構造・価格方式・製品境界の変更は、AIが独断で開始せず、選択肢、作業量、長所短所、既存コード・データへの影響を示して開発者の判断を受ける。途中で方式変更が必要になった場合も、旧ロジックや不要データが残る範囲、移行・削除・回帰監査範囲を明らかにしてから変更する。</w:t>
      </w:r>
    </w:p>
    <w:p w14:paraId="7CC9449B" w14:textId="77777777" w:rsidR="009B7B21" w:rsidRPr="00CF00C4" w:rsidRDefault="00000000">
      <w:pPr>
        <w:pStyle w:val="2"/>
        <w:rPr>
          <w:rFonts w:ascii="ＭＳ Ｐゴシック" w:eastAsia="ＭＳ Ｐゴシック" w:hAnsi="ＭＳ Ｐゴシック"/>
          <w:lang w:eastAsia="ja-JP"/>
        </w:rPr>
      </w:pPr>
      <w:r w:rsidRPr="00CF00C4">
        <w:rPr>
          <w:rFonts w:ascii="ＭＳ Ｐゴシック" w:eastAsia="ＭＳ Ｐゴシック" w:hAnsi="ＭＳ Ｐゴシック"/>
          <w:lang w:eastAsia="ja-JP"/>
        </w:rPr>
        <w:t>12. 開発憲法と回帰テストの役割分担</w:t>
      </w:r>
    </w:p>
    <w:p w14:paraId="5059EF8F" w14:textId="77777777" w:rsidR="009B7B21" w:rsidRDefault="00000000">
      <w:pPr>
        <w:pStyle w:val="FirstParagraph"/>
        <w:rPr>
          <w:lang w:eastAsia="ja-JP"/>
        </w:rPr>
      </w:pPr>
      <w:r>
        <w:t xml:space="preserve">AZRAS DEVELOPMENT </w:t>
      </w:r>
      <w:proofErr w:type="spellStart"/>
      <w:r>
        <w:t>CONSTITUTIONと回帰テストは同じものではない。開発憲法は「どの決定が現在の正式決定か」を守る</w:t>
      </w:r>
      <w:proofErr w:type="spellEnd"/>
      <w:r>
        <w:t>。</w:t>
      </w:r>
      <w:r>
        <w:rPr>
          <w:lang w:eastAsia="ja-JP"/>
        </w:rPr>
        <w:t>一方、回帰テストは「以前正常に動いていた機能が、今回の変更で壊れていないか」を守る。</w:t>
      </w:r>
    </w:p>
    <w:p w14:paraId="25482787" w14:textId="77777777" w:rsidR="009B7B21" w:rsidRDefault="00000000">
      <w:pPr>
        <w:pStyle w:val="a0"/>
        <w:rPr>
          <w:lang w:eastAsia="ja-JP"/>
        </w:rPr>
      </w:pPr>
      <w:r>
        <w:rPr>
          <w:lang w:eastAsia="ja-JP"/>
        </w:rPr>
        <w:t>この二つを併用することで、「仕様そのものを取り違える問題」と「正しい仕様を実装したつもりで既存機能を壊す問題」を別々に防止する。AZRASの長期開発では、AIの性能向上だけに依存せず、プロジェクト側の統治情報と機械的検証を組み合わせることが重要な設計原則となった。</w:t>
      </w:r>
    </w:p>
    <w:p w14:paraId="5C213311" w14:textId="77777777" w:rsidR="009B7B21" w:rsidRPr="00CF00C4" w:rsidRDefault="00000000">
      <w:pPr>
        <w:pStyle w:val="2"/>
        <w:rPr>
          <w:rFonts w:ascii="ＭＳ Ｐゴシック" w:eastAsia="ＭＳ Ｐゴシック" w:hAnsi="ＭＳ Ｐゴシック"/>
          <w:lang w:eastAsia="ja-JP"/>
        </w:rPr>
      </w:pPr>
      <w:r w:rsidRPr="00CF00C4">
        <w:rPr>
          <w:rFonts w:ascii="ＭＳ Ｐゴシック" w:eastAsia="ＭＳ Ｐゴシック" w:hAnsi="ＭＳ Ｐゴシック"/>
          <w:lang w:eastAsia="ja-JP"/>
        </w:rPr>
        <w:lastRenderedPageBreak/>
        <w:t>13. フリーソフト公開とAI修復可能なソフトウェア</w:t>
      </w:r>
    </w:p>
    <w:p w14:paraId="00B108E4" w14:textId="77777777" w:rsidR="009B7B21" w:rsidRDefault="00000000">
      <w:pPr>
        <w:pStyle w:val="FirstParagraph"/>
        <w:rPr>
          <w:lang w:eastAsia="ja-JP"/>
        </w:rPr>
      </w:pPr>
      <w:r>
        <w:rPr>
          <w:lang w:eastAsia="ja-JP"/>
        </w:rPr>
        <w:t>AZRASはフリーソフトとして公開し、利用者が自分の利用するAIへ不具合修正や拡張を依頼し、自らの環境でソフトを発展させられる方向を想定している。この思想はAny AI Architectureの延長にあり、修正を一人の開発者や一つのAIだけに依存しない。</w:t>
      </w:r>
    </w:p>
    <w:p w14:paraId="22AED405" w14:textId="77777777" w:rsidR="009B7B21" w:rsidRDefault="00000000">
      <w:pPr>
        <w:pStyle w:val="a0"/>
        <w:rPr>
          <w:lang w:eastAsia="ja-JP"/>
        </w:rPr>
      </w:pPr>
      <w:r>
        <w:rPr>
          <w:lang w:eastAsia="ja-JP"/>
        </w:rPr>
        <w:t>一方、利用者ごとに異なるAIが異なる修正を行えば、同じAZRAS名称でも挙動が分岐する可能性がある。特に積算、構造数量、環境評価、事業性計算などのコアロジックは、未検証PATCHが実務判断へ使われる危険がある。またProject JSONの互換性が崩れる可能性もある。</w:t>
      </w:r>
    </w:p>
    <w:p w14:paraId="28087858" w14:textId="77777777" w:rsidR="009B7B21" w:rsidRDefault="00000000">
      <w:pPr>
        <w:pStyle w:val="a0"/>
        <w:rPr>
          <w:lang w:eastAsia="ja-JP"/>
        </w:rPr>
      </w:pPr>
      <w:r>
        <w:rPr>
          <w:lang w:eastAsia="ja-JP"/>
        </w:rPr>
        <w:t>このため公開版では、開発憲法と回帰テスト方針をAIが読める形で本体に付随させること、UI・言語等の軽微修正とコア計算変更を区別すること、コア変更時の検証方法、Project JSON互換性、利用者側で発見・修正した不具合を開発元へ還元する方法を公開前監査事項とする。重要なのは「AIがすべてを覚える」ことではなく、「どのAIがAZRASを扱っても、同じ正式方針を読んでから作業できる」状態を作ることである。</w:t>
      </w:r>
    </w:p>
    <w:p w14:paraId="67FD939B" w14:textId="77777777" w:rsidR="009B7B21" w:rsidRPr="00CF00C4" w:rsidRDefault="00000000">
      <w:pPr>
        <w:pStyle w:val="2"/>
        <w:rPr>
          <w:rFonts w:ascii="ＭＳ Ｐゴシック" w:eastAsia="ＭＳ Ｐゴシック" w:hAnsi="ＭＳ Ｐゴシック"/>
          <w:lang w:eastAsia="ja-JP"/>
        </w:rPr>
      </w:pPr>
      <w:r w:rsidRPr="00CF00C4">
        <w:rPr>
          <w:rFonts w:ascii="ＭＳ Ｐゴシック" w:eastAsia="ＭＳ Ｐゴシック" w:hAnsi="ＭＳ Ｐゴシック"/>
          <w:lang w:eastAsia="ja-JP"/>
        </w:rPr>
        <w:t>14. 現在のAZRAS製品構成と今後</w:t>
      </w:r>
    </w:p>
    <w:p w14:paraId="06149C62" w14:textId="77777777" w:rsidR="009B7B21" w:rsidRDefault="00000000">
      <w:pPr>
        <w:pStyle w:val="FirstParagraph"/>
        <w:rPr>
          <w:lang w:eastAsia="ja-JP"/>
        </w:rPr>
      </w:pPr>
      <w:r>
        <w:rPr>
          <w:lang w:eastAsia="ja-JP"/>
        </w:rPr>
        <w:t>AZRASは、特定工法の比較ソフトから、建物の図面・数量・環境・コスト・災害・事業性を長期にわたって統合評価し、任意のAIと接続できるプラットフォームへ発展した。</w:t>
      </w:r>
    </w:p>
    <w:p w14:paraId="5FC00928" w14:textId="77777777" w:rsidR="009B7B21" w:rsidRDefault="00000000">
      <w:pPr>
        <w:pStyle w:val="a0"/>
        <w:rPr>
          <w:lang w:eastAsia="ja-JP"/>
        </w:rPr>
      </w:pPr>
      <w:r>
        <w:rPr>
          <w:lang w:eastAsia="ja-JP"/>
        </w:rPr>
        <w:t>2026年8月末時点の重要な次段階は、無制限な機能追加ではなく、公開に向けた安定化である。公開前には、製品構成、開発憲法、回帰テスト、Project JSON互換性、Cost Provider境界、コア計算の検証、AIによる利用者側修正の安全ルールを総合監査する必要がある。</w:t>
      </w:r>
    </w:p>
    <w:p w14:paraId="652C2E27" w14:textId="77777777" w:rsidR="009B7B21" w:rsidRDefault="00000000">
      <w:pPr>
        <w:pStyle w:val="3"/>
      </w:pPr>
      <w:proofErr w:type="spellStart"/>
      <w:r>
        <w:t>現在の製品構成</w:t>
      </w:r>
      <w:proofErr w:type="spellEnd"/>
    </w:p>
    <w:p w14:paraId="6AF37A36" w14:textId="77777777" w:rsidR="009B7B21" w:rsidRDefault="00000000">
      <w:pPr>
        <w:pStyle w:val="FirstParagraph"/>
        <w:rPr>
          <w:lang w:eastAsia="ja-JP"/>
        </w:rPr>
      </w:pPr>
      <w:r>
        <w:t xml:space="preserve">2026年9月1日の番号・責任範囲整理により、Feasibility は独立製品から外し、Evaluation と Compare </w:t>
      </w:r>
      <w:proofErr w:type="spellStart"/>
      <w:r>
        <w:t>の責任を明確に分離した</w:t>
      </w:r>
      <w:proofErr w:type="spellEnd"/>
      <w:r>
        <w:t>。</w:t>
      </w:r>
      <w:r>
        <w:rPr>
          <w:lang w:eastAsia="ja-JP"/>
        </w:rPr>
        <w:t>過去の章に記載された旧番号・旧製品名は、その時点の開発経緯を示す歴史記録として維持する。</w:t>
      </w:r>
    </w:p>
    <w:tbl>
      <w:tblPr>
        <w:tblStyle w:val="Table"/>
        <w:tblW w:w="5000" w:type="pct"/>
        <w:tblLayout w:type="fixed"/>
        <w:tblLook w:val="0020" w:firstRow="1" w:lastRow="0" w:firstColumn="0" w:lastColumn="0" w:noHBand="0" w:noVBand="0"/>
      </w:tblPr>
      <w:tblGrid>
        <w:gridCol w:w="3018"/>
        <w:gridCol w:w="3018"/>
        <w:gridCol w:w="3018"/>
      </w:tblGrid>
      <w:tr w:rsidR="009B7B21" w14:paraId="4A17DEE3" w14:textId="77777777" w:rsidTr="009B7B21">
        <w:trPr>
          <w:cnfStyle w:val="100000000000" w:firstRow="1" w:lastRow="0" w:firstColumn="0" w:lastColumn="0" w:oddVBand="0" w:evenVBand="0" w:oddHBand="0" w:evenHBand="0" w:firstRowFirstColumn="0" w:firstRowLastColumn="0" w:lastRowFirstColumn="0" w:lastRowLastColumn="0"/>
          <w:tblHeader/>
        </w:trPr>
        <w:tc>
          <w:tcPr>
            <w:tcW w:w="2640" w:type="dxa"/>
          </w:tcPr>
          <w:p w14:paraId="19A466FA" w14:textId="77777777" w:rsidR="009B7B21" w:rsidRDefault="00000000">
            <w:pPr>
              <w:pStyle w:val="Compact"/>
            </w:pPr>
            <w:r>
              <w:t>No.</w:t>
            </w:r>
          </w:p>
        </w:tc>
        <w:tc>
          <w:tcPr>
            <w:tcW w:w="2640" w:type="dxa"/>
          </w:tcPr>
          <w:p w14:paraId="530F33F3" w14:textId="77777777" w:rsidR="009B7B21" w:rsidRDefault="00000000">
            <w:pPr>
              <w:pStyle w:val="Compact"/>
            </w:pPr>
            <w:r>
              <w:t>アプリ</w:t>
            </w:r>
          </w:p>
        </w:tc>
        <w:tc>
          <w:tcPr>
            <w:tcW w:w="2640" w:type="dxa"/>
          </w:tcPr>
          <w:p w14:paraId="0948D4C9" w14:textId="77777777" w:rsidR="009B7B21" w:rsidRDefault="00000000">
            <w:pPr>
              <w:pStyle w:val="Compact"/>
            </w:pPr>
            <w:r>
              <w:t>現在の役割・方向</w:t>
            </w:r>
          </w:p>
        </w:tc>
      </w:tr>
      <w:tr w:rsidR="009B7B21" w14:paraId="12D5BEB6" w14:textId="77777777">
        <w:tc>
          <w:tcPr>
            <w:tcW w:w="2640" w:type="dxa"/>
          </w:tcPr>
          <w:p w14:paraId="10CE8954" w14:textId="77777777" w:rsidR="009B7B21" w:rsidRDefault="00000000">
            <w:pPr>
              <w:pStyle w:val="Compact"/>
            </w:pPr>
            <w:r>
              <w:t>00</w:t>
            </w:r>
          </w:p>
        </w:tc>
        <w:tc>
          <w:tcPr>
            <w:tcW w:w="2640" w:type="dxa"/>
          </w:tcPr>
          <w:p w14:paraId="5E770D57" w14:textId="77777777" w:rsidR="009B7B21" w:rsidRDefault="00000000">
            <w:pPr>
              <w:pStyle w:val="Compact"/>
            </w:pPr>
            <w:r>
              <w:t>AZRAS Installer</w:t>
            </w:r>
          </w:p>
        </w:tc>
        <w:tc>
          <w:tcPr>
            <w:tcW w:w="2640" w:type="dxa"/>
          </w:tcPr>
          <w:p w14:paraId="1847BACB" w14:textId="77777777" w:rsidR="009B7B21" w:rsidRDefault="00000000">
            <w:pPr>
              <w:pStyle w:val="Compact"/>
            </w:pPr>
            <w:r>
              <w:t>導入・共通環境・外部ツール設定</w:t>
            </w:r>
          </w:p>
        </w:tc>
      </w:tr>
      <w:tr w:rsidR="009B7B21" w14:paraId="3FCF5BA7" w14:textId="77777777">
        <w:tc>
          <w:tcPr>
            <w:tcW w:w="2640" w:type="dxa"/>
          </w:tcPr>
          <w:p w14:paraId="2D02121A" w14:textId="77777777" w:rsidR="009B7B21" w:rsidRDefault="00000000">
            <w:pPr>
              <w:pStyle w:val="Compact"/>
            </w:pPr>
            <w:r>
              <w:t>01</w:t>
            </w:r>
          </w:p>
        </w:tc>
        <w:tc>
          <w:tcPr>
            <w:tcW w:w="2640" w:type="dxa"/>
          </w:tcPr>
          <w:p w14:paraId="437D3BF2" w14:textId="77777777" w:rsidR="009B7B21" w:rsidRDefault="00000000">
            <w:pPr>
              <w:pStyle w:val="Compact"/>
            </w:pPr>
            <w:r>
              <w:t>AZRAS Planning（現 Planning Basic）</w:t>
            </w:r>
          </w:p>
        </w:tc>
        <w:tc>
          <w:tcPr>
            <w:tcW w:w="2640" w:type="dxa"/>
          </w:tcPr>
          <w:p w14:paraId="36719E36" w14:textId="77777777" w:rsidR="009B7B21" w:rsidRDefault="00000000">
            <w:pPr>
              <w:pStyle w:val="Compact"/>
            </w:pPr>
            <w:r>
              <w:t>計画・図面解析・数量・Cost Provider 連携</w:t>
            </w:r>
          </w:p>
        </w:tc>
      </w:tr>
      <w:tr w:rsidR="009B7B21" w14:paraId="3919E4E2" w14:textId="77777777">
        <w:tc>
          <w:tcPr>
            <w:tcW w:w="2640" w:type="dxa"/>
          </w:tcPr>
          <w:p w14:paraId="10FBEDF0" w14:textId="77777777" w:rsidR="009B7B21" w:rsidRDefault="00000000">
            <w:pPr>
              <w:pStyle w:val="Compact"/>
            </w:pPr>
            <w:r>
              <w:t>02</w:t>
            </w:r>
          </w:p>
        </w:tc>
        <w:tc>
          <w:tcPr>
            <w:tcW w:w="2640" w:type="dxa"/>
          </w:tcPr>
          <w:p w14:paraId="2BE3C29E" w14:textId="77777777" w:rsidR="009B7B21" w:rsidRDefault="00000000">
            <w:pPr>
              <w:pStyle w:val="Compact"/>
            </w:pPr>
            <w:r>
              <w:t>AZRAS Evaluation</w:t>
            </w:r>
          </w:p>
        </w:tc>
        <w:tc>
          <w:tcPr>
            <w:tcW w:w="2640" w:type="dxa"/>
          </w:tcPr>
          <w:p w14:paraId="5BADE43D" w14:textId="77777777" w:rsidR="009B7B21" w:rsidRDefault="00000000">
            <w:pPr>
              <w:pStyle w:val="Compact"/>
            </w:pPr>
            <w:r>
              <w:t>環境・更新・長期費用・200年評価を計算し Project JSON に保存</w:t>
            </w:r>
          </w:p>
        </w:tc>
      </w:tr>
      <w:tr w:rsidR="009B7B21" w14:paraId="683AC1AF" w14:textId="77777777">
        <w:tc>
          <w:tcPr>
            <w:tcW w:w="2640" w:type="dxa"/>
          </w:tcPr>
          <w:p w14:paraId="316E7B15" w14:textId="77777777" w:rsidR="009B7B21" w:rsidRDefault="00000000">
            <w:pPr>
              <w:pStyle w:val="Compact"/>
            </w:pPr>
            <w:r>
              <w:t>03</w:t>
            </w:r>
          </w:p>
        </w:tc>
        <w:tc>
          <w:tcPr>
            <w:tcW w:w="2640" w:type="dxa"/>
          </w:tcPr>
          <w:p w14:paraId="7674AB51" w14:textId="77777777" w:rsidR="009B7B21" w:rsidRDefault="00000000">
            <w:pPr>
              <w:pStyle w:val="Compact"/>
            </w:pPr>
            <w:r>
              <w:t>AZRAS Compare</w:t>
            </w:r>
          </w:p>
        </w:tc>
        <w:tc>
          <w:tcPr>
            <w:tcW w:w="2640" w:type="dxa"/>
          </w:tcPr>
          <w:p w14:paraId="74DD48B2" w14:textId="77777777" w:rsidR="009B7B21" w:rsidRDefault="00000000">
            <w:pPr>
              <w:pStyle w:val="Compact"/>
            </w:pPr>
            <w:r>
              <w:t>02で保存済みの評価結果を読み取り、複数Projectを比較。未計算値を0補完・推定しない</w:t>
            </w:r>
          </w:p>
        </w:tc>
      </w:tr>
      <w:tr w:rsidR="009B7B21" w14:paraId="21365BC2" w14:textId="77777777">
        <w:tc>
          <w:tcPr>
            <w:tcW w:w="2640" w:type="dxa"/>
          </w:tcPr>
          <w:p w14:paraId="31253B81" w14:textId="77777777" w:rsidR="009B7B21" w:rsidRDefault="00000000">
            <w:pPr>
              <w:pStyle w:val="Compact"/>
            </w:pPr>
            <w:r>
              <w:t>04</w:t>
            </w:r>
          </w:p>
        </w:tc>
        <w:tc>
          <w:tcPr>
            <w:tcW w:w="2640" w:type="dxa"/>
          </w:tcPr>
          <w:p w14:paraId="7C689109" w14:textId="77777777" w:rsidR="009B7B21" w:rsidRDefault="00000000">
            <w:pPr>
              <w:pStyle w:val="Compact"/>
            </w:pPr>
            <w:r>
              <w:t>AZRAS Professional</w:t>
            </w:r>
          </w:p>
        </w:tc>
        <w:tc>
          <w:tcPr>
            <w:tcW w:w="2640" w:type="dxa"/>
          </w:tcPr>
          <w:p w14:paraId="529109EB" w14:textId="77777777" w:rsidR="009B7B21" w:rsidRDefault="00000000">
            <w:pPr>
              <w:pStyle w:val="Compact"/>
            </w:pPr>
            <w:r>
              <w:t>各国の審査・認証・申請様式への展開支援</w:t>
            </w:r>
          </w:p>
        </w:tc>
      </w:tr>
      <w:tr w:rsidR="009B7B21" w14:paraId="769EAC16" w14:textId="77777777">
        <w:tc>
          <w:tcPr>
            <w:tcW w:w="2640" w:type="dxa"/>
          </w:tcPr>
          <w:p w14:paraId="3D6ADDB8" w14:textId="77777777" w:rsidR="009B7B21" w:rsidRDefault="00000000">
            <w:pPr>
              <w:pStyle w:val="Compact"/>
            </w:pPr>
            <w:r>
              <w:lastRenderedPageBreak/>
              <w:t>05</w:t>
            </w:r>
          </w:p>
        </w:tc>
        <w:tc>
          <w:tcPr>
            <w:tcW w:w="2640" w:type="dxa"/>
          </w:tcPr>
          <w:p w14:paraId="47C8B72E" w14:textId="77777777" w:rsidR="009B7B21" w:rsidRDefault="00000000">
            <w:pPr>
              <w:pStyle w:val="Compact"/>
            </w:pPr>
            <w:r>
              <w:t>AZRAS Disaster</w:t>
            </w:r>
          </w:p>
        </w:tc>
        <w:tc>
          <w:tcPr>
            <w:tcW w:w="2640" w:type="dxa"/>
          </w:tcPr>
          <w:p w14:paraId="7A2849A8" w14:textId="77777777" w:rsidR="009B7B21" w:rsidRDefault="00000000">
            <w:pPr>
              <w:pStyle w:val="Compact"/>
            </w:pPr>
            <w:r>
              <w:t>災害・ハザード・復旧評価</w:t>
            </w:r>
          </w:p>
        </w:tc>
      </w:tr>
      <w:tr w:rsidR="009B7B21" w14:paraId="2927B385" w14:textId="77777777">
        <w:tc>
          <w:tcPr>
            <w:tcW w:w="2640" w:type="dxa"/>
          </w:tcPr>
          <w:p w14:paraId="403CC426" w14:textId="77777777" w:rsidR="009B7B21" w:rsidRDefault="00000000">
            <w:pPr>
              <w:pStyle w:val="Compact"/>
            </w:pPr>
            <w:r>
              <w:t>06</w:t>
            </w:r>
          </w:p>
        </w:tc>
        <w:tc>
          <w:tcPr>
            <w:tcW w:w="2640" w:type="dxa"/>
          </w:tcPr>
          <w:p w14:paraId="763DBEE4" w14:textId="77777777" w:rsidR="009B7B21" w:rsidRDefault="00000000">
            <w:pPr>
              <w:pStyle w:val="Compact"/>
            </w:pPr>
            <w:r>
              <w:t>AZRAS Twin</w:t>
            </w:r>
          </w:p>
        </w:tc>
        <w:tc>
          <w:tcPr>
            <w:tcW w:w="2640" w:type="dxa"/>
          </w:tcPr>
          <w:p w14:paraId="39D12FE8" w14:textId="77777777" w:rsidR="009B7B21" w:rsidRDefault="00000000">
            <w:pPr>
              <w:pStyle w:val="Compact"/>
            </w:pPr>
            <w:r>
              <w:t>デジタルツイン系機能</w:t>
            </w:r>
          </w:p>
        </w:tc>
      </w:tr>
    </w:tbl>
    <w:p w14:paraId="731EBFCB" w14:textId="77777777" w:rsidR="009B7B21" w:rsidRDefault="00000000">
      <w:pPr>
        <w:pStyle w:val="3"/>
      </w:pPr>
      <w:proofErr w:type="spellStart"/>
      <w:r>
        <w:t>開発から得た設計原則</w:t>
      </w:r>
      <w:proofErr w:type="spellEnd"/>
    </w:p>
    <w:tbl>
      <w:tblPr>
        <w:tblStyle w:val="Table"/>
        <w:tblW w:w="5000" w:type="pct"/>
        <w:tblLayout w:type="fixed"/>
        <w:tblLook w:val="0020" w:firstRow="1" w:lastRow="0" w:firstColumn="0" w:lastColumn="0" w:noHBand="0" w:noVBand="0"/>
      </w:tblPr>
      <w:tblGrid>
        <w:gridCol w:w="3018"/>
        <w:gridCol w:w="3018"/>
        <w:gridCol w:w="3018"/>
      </w:tblGrid>
      <w:tr w:rsidR="009B7B21" w14:paraId="5A515979" w14:textId="77777777" w:rsidTr="009B7B21">
        <w:trPr>
          <w:cnfStyle w:val="100000000000" w:firstRow="1" w:lastRow="0" w:firstColumn="0" w:lastColumn="0" w:oddVBand="0" w:evenVBand="0" w:oddHBand="0" w:evenHBand="0" w:firstRowFirstColumn="0" w:firstRowLastColumn="0" w:lastRowFirstColumn="0" w:lastRowLastColumn="0"/>
          <w:tblHeader/>
        </w:trPr>
        <w:tc>
          <w:tcPr>
            <w:tcW w:w="2640" w:type="dxa"/>
          </w:tcPr>
          <w:p w14:paraId="7DB0BDB6" w14:textId="77777777" w:rsidR="009B7B21" w:rsidRDefault="00000000">
            <w:pPr>
              <w:pStyle w:val="Compact"/>
            </w:pPr>
            <w:r>
              <w:t>試したこと / 問題</w:t>
            </w:r>
          </w:p>
        </w:tc>
        <w:tc>
          <w:tcPr>
            <w:tcW w:w="2640" w:type="dxa"/>
          </w:tcPr>
          <w:p w14:paraId="006AEFC6" w14:textId="77777777" w:rsidR="009B7B21" w:rsidRDefault="00000000">
            <w:pPr>
              <w:pStyle w:val="Compact"/>
            </w:pPr>
            <w:r>
              <w:t>得られた教訓</w:t>
            </w:r>
          </w:p>
        </w:tc>
        <w:tc>
          <w:tcPr>
            <w:tcW w:w="2640" w:type="dxa"/>
          </w:tcPr>
          <w:p w14:paraId="217D2DC3" w14:textId="77777777" w:rsidR="009B7B21" w:rsidRDefault="00000000">
            <w:pPr>
              <w:pStyle w:val="Compact"/>
            </w:pPr>
            <w:r>
              <w:t>現在の方式</w:t>
            </w:r>
          </w:p>
        </w:tc>
      </w:tr>
      <w:tr w:rsidR="009B7B21" w14:paraId="629ED6F9" w14:textId="77777777">
        <w:tc>
          <w:tcPr>
            <w:tcW w:w="2640" w:type="dxa"/>
          </w:tcPr>
          <w:p w14:paraId="7DE24ECF" w14:textId="77777777" w:rsidR="009B7B21" w:rsidRDefault="00000000">
            <w:pPr>
              <w:pStyle w:val="Compact"/>
            </w:pPr>
            <w:r>
              <w:t>PDF色分け</w:t>
            </w:r>
          </w:p>
        </w:tc>
        <w:tc>
          <w:tcPr>
            <w:tcW w:w="2640" w:type="dxa"/>
          </w:tcPr>
          <w:p w14:paraId="6DF6473E" w14:textId="77777777" w:rsidR="009B7B21" w:rsidRDefault="00000000">
            <w:pPr>
              <w:pStyle w:val="Compact"/>
            </w:pPr>
            <w:r>
              <w:t>表示安定性に限界</w:t>
            </w:r>
          </w:p>
        </w:tc>
        <w:tc>
          <w:tcPr>
            <w:tcW w:w="2640" w:type="dxa"/>
          </w:tcPr>
          <w:p w14:paraId="1C181308" w14:textId="77777777" w:rsidR="009B7B21" w:rsidRDefault="00000000">
            <w:pPr>
              <w:pStyle w:val="Compact"/>
            </w:pPr>
            <w:r>
              <w:t>Evidence / Source / Confidence</w:t>
            </w:r>
          </w:p>
        </w:tc>
      </w:tr>
      <w:tr w:rsidR="009B7B21" w14:paraId="66482FF0" w14:textId="77777777">
        <w:tc>
          <w:tcPr>
            <w:tcW w:w="2640" w:type="dxa"/>
          </w:tcPr>
          <w:p w14:paraId="02A9E9B9" w14:textId="77777777" w:rsidR="009B7B21" w:rsidRDefault="00000000">
            <w:pPr>
              <w:pStyle w:val="Compact"/>
            </w:pPr>
            <w:r>
              <w:t>万能CAD解析</w:t>
            </w:r>
          </w:p>
        </w:tc>
        <w:tc>
          <w:tcPr>
            <w:tcW w:w="2640" w:type="dxa"/>
          </w:tcPr>
          <w:p w14:paraId="4B781AD3" w14:textId="77777777" w:rsidR="009B7B21" w:rsidRDefault="00000000">
            <w:pPr>
              <w:pStyle w:val="Compact"/>
            </w:pPr>
            <w:r>
              <w:t>実図面の非標準性</w:t>
            </w:r>
          </w:p>
        </w:tc>
        <w:tc>
          <w:tcPr>
            <w:tcW w:w="2640" w:type="dxa"/>
          </w:tcPr>
          <w:p w14:paraId="59A9E878" w14:textId="77777777" w:rsidR="009B7B21" w:rsidRDefault="00000000">
            <w:pPr>
              <w:pStyle w:val="Compact"/>
            </w:pPr>
            <w:r>
              <w:t>外部AI / Interpreter + Common Exchange</w:t>
            </w:r>
          </w:p>
        </w:tc>
      </w:tr>
      <w:tr w:rsidR="009B7B21" w14:paraId="579BCB76" w14:textId="77777777">
        <w:tc>
          <w:tcPr>
            <w:tcW w:w="2640" w:type="dxa"/>
          </w:tcPr>
          <w:p w14:paraId="7A63FD0D" w14:textId="77777777" w:rsidR="009B7B21" w:rsidRDefault="00000000">
            <w:pPr>
              <w:pStyle w:val="Compact"/>
            </w:pPr>
            <w:r>
              <w:t>巨大統合Platform</w:t>
            </w:r>
          </w:p>
        </w:tc>
        <w:tc>
          <w:tcPr>
            <w:tcW w:w="2640" w:type="dxa"/>
          </w:tcPr>
          <w:p w14:paraId="68EFC705" w14:textId="77777777" w:rsidR="009B7B21" w:rsidRDefault="00000000">
            <w:pPr>
              <w:pStyle w:val="Compact"/>
            </w:pPr>
            <w:r>
              <w:t>依存関係・回帰リスク</w:t>
            </w:r>
          </w:p>
        </w:tc>
        <w:tc>
          <w:tcPr>
            <w:tcW w:w="2640" w:type="dxa"/>
          </w:tcPr>
          <w:p w14:paraId="51B2E8DA" w14:textId="77777777" w:rsidR="009B7B21" w:rsidRDefault="00000000">
            <w:pPr>
              <w:pStyle w:val="Compact"/>
            </w:pPr>
            <w:r>
              <w:t>独立Apps + Project JSON</w:t>
            </w:r>
          </w:p>
        </w:tc>
      </w:tr>
      <w:tr w:rsidR="009B7B21" w14:paraId="4873A74C" w14:textId="77777777">
        <w:tc>
          <w:tcPr>
            <w:tcW w:w="2640" w:type="dxa"/>
          </w:tcPr>
          <w:p w14:paraId="0ED946A9" w14:textId="77777777" w:rsidR="009B7B21" w:rsidRDefault="00000000">
            <w:pPr>
              <w:pStyle w:val="Compact"/>
            </w:pPr>
            <w:r>
              <w:t>世界単価等のハードコード</w:t>
            </w:r>
          </w:p>
        </w:tc>
        <w:tc>
          <w:tcPr>
            <w:tcW w:w="2640" w:type="dxa"/>
          </w:tcPr>
          <w:p w14:paraId="40787E3D" w14:textId="77777777" w:rsidR="009B7B21" w:rsidRDefault="00000000">
            <w:pPr>
              <w:pStyle w:val="Compact"/>
            </w:pPr>
            <w:r>
              <w:t>地域差・更新負荷</w:t>
            </w:r>
          </w:p>
        </w:tc>
        <w:tc>
          <w:tcPr>
            <w:tcW w:w="2640" w:type="dxa"/>
          </w:tcPr>
          <w:p w14:paraId="698FB084" w14:textId="77777777" w:rsidR="009B7B21" w:rsidRDefault="00000000">
            <w:pPr>
              <w:pStyle w:val="Compact"/>
            </w:pPr>
            <w:r>
              <w:t>Cost Provider + 概算fallback</w:t>
            </w:r>
          </w:p>
        </w:tc>
      </w:tr>
      <w:tr w:rsidR="009B7B21" w14:paraId="5B887554" w14:textId="77777777">
        <w:tc>
          <w:tcPr>
            <w:tcW w:w="2640" w:type="dxa"/>
          </w:tcPr>
          <w:p w14:paraId="17E5E54E" w14:textId="77777777" w:rsidR="009B7B21" w:rsidRDefault="00000000">
            <w:pPr>
              <w:pStyle w:val="Compact"/>
            </w:pPr>
            <w:r>
              <w:t>単一AI依存</w:t>
            </w:r>
          </w:p>
        </w:tc>
        <w:tc>
          <w:tcPr>
            <w:tcW w:w="2640" w:type="dxa"/>
          </w:tcPr>
          <w:p w14:paraId="699A9AE1" w14:textId="77777777" w:rsidR="009B7B21" w:rsidRDefault="00000000">
            <w:pPr>
              <w:pStyle w:val="Compact"/>
            </w:pPr>
            <w:r>
              <w:t>モデル差・将来変更</w:t>
            </w:r>
          </w:p>
        </w:tc>
        <w:tc>
          <w:tcPr>
            <w:tcW w:w="2640" w:type="dxa"/>
          </w:tcPr>
          <w:p w14:paraId="6B3496C2" w14:textId="77777777" w:rsidR="009B7B21" w:rsidRDefault="00000000">
            <w:pPr>
              <w:pStyle w:val="Compact"/>
            </w:pPr>
            <w:r>
              <w:t>Any AI Architecture</w:t>
            </w:r>
          </w:p>
        </w:tc>
      </w:tr>
      <w:tr w:rsidR="009B7B21" w14:paraId="1D0DFD7A" w14:textId="77777777">
        <w:tc>
          <w:tcPr>
            <w:tcW w:w="2640" w:type="dxa"/>
          </w:tcPr>
          <w:p w14:paraId="1D0A043D" w14:textId="77777777" w:rsidR="009B7B21" w:rsidRDefault="00000000">
            <w:pPr>
              <w:pStyle w:val="Compact"/>
            </w:pPr>
            <w:r>
              <w:t>単純な複数AI多数決</w:t>
            </w:r>
          </w:p>
        </w:tc>
        <w:tc>
          <w:tcPr>
            <w:tcW w:w="2640" w:type="dxa"/>
          </w:tcPr>
          <w:p w14:paraId="24516124" w14:textId="77777777" w:rsidR="009B7B21" w:rsidRDefault="00000000">
            <w:pPr>
              <w:pStyle w:val="Compact"/>
            </w:pPr>
            <w:r>
              <w:t>多数=正解とは限らない</w:t>
            </w:r>
          </w:p>
        </w:tc>
        <w:tc>
          <w:tcPr>
            <w:tcW w:w="2640" w:type="dxa"/>
          </w:tcPr>
          <w:p w14:paraId="610878C5" w14:textId="77777777" w:rsidR="009B7B21" w:rsidRDefault="00000000">
            <w:pPr>
              <w:pStyle w:val="Compact"/>
            </w:pPr>
            <w:r>
              <w:t>根拠・不確実性の保存</w:t>
            </w:r>
          </w:p>
        </w:tc>
      </w:tr>
      <w:tr w:rsidR="009B7B21" w14:paraId="712A4791" w14:textId="77777777">
        <w:tc>
          <w:tcPr>
            <w:tcW w:w="2640" w:type="dxa"/>
          </w:tcPr>
          <w:p w14:paraId="3CC1F7FA" w14:textId="77777777" w:rsidR="009B7B21" w:rsidRDefault="00000000">
            <w:pPr>
              <w:pStyle w:val="Compact"/>
            </w:pPr>
            <w:r>
              <w:t>PATCH連鎖</w:t>
            </w:r>
          </w:p>
        </w:tc>
        <w:tc>
          <w:tcPr>
            <w:tcW w:w="2640" w:type="dxa"/>
          </w:tcPr>
          <w:p w14:paraId="785316AC" w14:textId="77777777" w:rsidR="009B7B21" w:rsidRDefault="00000000">
            <w:pPr>
              <w:pStyle w:val="Compact"/>
            </w:pPr>
            <w:r>
              <w:t>既存正常機能の回帰</w:t>
            </w:r>
          </w:p>
        </w:tc>
        <w:tc>
          <w:tcPr>
            <w:tcW w:w="2640" w:type="dxa"/>
          </w:tcPr>
          <w:p w14:paraId="2699B10F" w14:textId="77777777" w:rsidR="009B7B21" w:rsidRDefault="00000000">
            <w:pPr>
              <w:pStyle w:val="Compact"/>
            </w:pPr>
            <w:r>
              <w:t>横断監査 + 回帰テスト</w:t>
            </w:r>
          </w:p>
        </w:tc>
      </w:tr>
      <w:tr w:rsidR="009B7B21" w14:paraId="53C389B2" w14:textId="77777777">
        <w:tc>
          <w:tcPr>
            <w:tcW w:w="2640" w:type="dxa"/>
          </w:tcPr>
          <w:p w14:paraId="7E086B93" w14:textId="77777777" w:rsidR="009B7B21" w:rsidRDefault="00000000">
            <w:pPr>
              <w:pStyle w:val="Compact"/>
            </w:pPr>
            <w:r>
              <w:t>会話記憶への依存</w:t>
            </w:r>
          </w:p>
        </w:tc>
        <w:tc>
          <w:tcPr>
            <w:tcW w:w="2640" w:type="dxa"/>
          </w:tcPr>
          <w:p w14:paraId="2413E7CE" w14:textId="77777777" w:rsidR="009B7B21" w:rsidRDefault="00000000">
            <w:pPr>
              <w:pStyle w:val="Compact"/>
            </w:pPr>
            <w:r>
              <w:t>正式決定の取り違え</w:t>
            </w:r>
          </w:p>
        </w:tc>
        <w:tc>
          <w:tcPr>
            <w:tcW w:w="2640" w:type="dxa"/>
          </w:tcPr>
          <w:p w14:paraId="2AB097FD" w14:textId="77777777" w:rsidR="009B7B21" w:rsidRDefault="00000000">
            <w:pPr>
              <w:pStyle w:val="Compact"/>
            </w:pPr>
            <w:r>
              <w:t>AZRAS DEVELOPMENT CONSTITUTION</w:t>
            </w:r>
          </w:p>
        </w:tc>
      </w:tr>
      <w:tr w:rsidR="009B7B21" w14:paraId="295BC2C3" w14:textId="77777777">
        <w:tc>
          <w:tcPr>
            <w:tcW w:w="2640" w:type="dxa"/>
          </w:tcPr>
          <w:p w14:paraId="0F8641C4" w14:textId="77777777" w:rsidR="009B7B21" w:rsidRDefault="00000000">
            <w:pPr>
              <w:pStyle w:val="Compact"/>
            </w:pPr>
            <w:r>
              <w:t>大量作業の自動着手</w:t>
            </w:r>
          </w:p>
        </w:tc>
        <w:tc>
          <w:tcPr>
            <w:tcW w:w="2640" w:type="dxa"/>
          </w:tcPr>
          <w:p w14:paraId="2C95B659" w14:textId="77777777" w:rsidR="009B7B21" w:rsidRDefault="00000000">
            <w:pPr>
              <w:pStyle w:val="Compact"/>
            </w:pPr>
            <w:r>
              <w:t>不要データ・方式変更リスク</w:t>
            </w:r>
          </w:p>
        </w:tc>
        <w:tc>
          <w:tcPr>
            <w:tcW w:w="2640" w:type="dxa"/>
          </w:tcPr>
          <w:p w14:paraId="06814C60" w14:textId="77777777" w:rsidR="009B7B21" w:rsidRDefault="00000000">
            <w:pPr>
              <w:pStyle w:val="Compact"/>
            </w:pPr>
            <w:r>
              <w:t>事前相談 + 開発者承認</w:t>
            </w:r>
          </w:p>
        </w:tc>
      </w:tr>
    </w:tbl>
    <w:p w14:paraId="404B7C0C" w14:textId="77777777" w:rsidR="009B7B21" w:rsidRDefault="009B7B21"/>
    <w:p w14:paraId="2AE29D98" w14:textId="77777777" w:rsidR="009B7B21" w:rsidRPr="00CF00C4" w:rsidRDefault="00000000">
      <w:pPr>
        <w:pStyle w:val="2"/>
        <w:rPr>
          <w:rFonts w:ascii="ＭＳ Ｐゴシック" w:eastAsia="ＭＳ Ｐゴシック" w:hAnsi="ＭＳ Ｐゴシック"/>
          <w:bCs w:val="0"/>
          <w:lang w:eastAsia="ja-JP"/>
        </w:rPr>
      </w:pPr>
      <w:r w:rsidRPr="00CF00C4">
        <w:rPr>
          <w:rFonts w:ascii="ＭＳ Ｐゴシック" w:eastAsia="ＭＳ Ｐゴシック" w:hAnsi="ＭＳ Ｐゴシック"/>
          <w:bCs w:val="0"/>
          <w:lang w:eastAsia="ja-JP"/>
        </w:rPr>
        <w:t>15. AIが解けない図面判断を、人間の正式回答へ接続する仕組み</w:t>
      </w:r>
    </w:p>
    <w:p w14:paraId="52C4A3C3" w14:textId="77777777" w:rsidR="009B7B21" w:rsidRDefault="00000000">
      <w:pPr>
        <w:pStyle w:val="FirstParagraph"/>
        <w:rPr>
          <w:lang w:eastAsia="ja-JP"/>
        </w:rPr>
      </w:pPr>
      <w:r>
        <w:rPr>
          <w:lang w:eastAsia="ja-JP"/>
        </w:rPr>
        <w:t>2026年9月7日、AZRAS PlanningのAI積算フローは、複数AIだけで数量を決め切る方式から、AIが解決できない「不明」と「図面矛盾」を人間の設計判断へ正式に接続する方式へ進んだ。</w:t>
      </w:r>
    </w:p>
    <w:p w14:paraId="5CCB5DFC" w14:textId="77777777" w:rsidR="009B7B21" w:rsidRDefault="00000000">
      <w:pPr>
        <w:pStyle w:val="a0"/>
        <w:rPr>
          <w:lang w:eastAsia="ja-JP"/>
        </w:rPr>
      </w:pPr>
      <w:r>
        <w:rPr>
          <w:lang w:eastAsia="ja-JP"/>
        </w:rPr>
        <w:t>背景には、建築図面にはAIの性能だけでは確定できない情報が存在するという実務上の問題がある。図面間で記載が食い違う場合、どの図面を正とするかは単なる読取り能力ではなく、設計意図や仕様上の優先順位を含む判断になる。また、図面に存在しない条件をAIが推定して数量を作れば、その推定が建設費・環境評価・長期評価へ連鎖する危険がある。</w:t>
      </w:r>
    </w:p>
    <w:p w14:paraId="00E166D7" w14:textId="77777777" w:rsidR="009B7B21" w:rsidRDefault="00000000">
      <w:pPr>
        <w:pStyle w:val="a0"/>
        <w:rPr>
          <w:lang w:eastAsia="ja-JP"/>
        </w:rPr>
      </w:pPr>
      <w:r>
        <w:rPr>
          <w:lang w:eastAsia="ja-JP"/>
        </w:rPr>
        <w:t>そこで、複数AIの独立解析とChatGPTによる証拠再確認の後でも残る「不明」「図面矛盾」だけを確認Excelへ出力し、ユーザー／設計者が回答する。回答済みExcelをChatGPTが読み、明示された人間判断だけをAZRAS_HUMAN_REVIEW_FINAL JSONへ変換する。Planningはこの正式JSONを取り込み、人間の回答をパラメータとして保存して数量を再計算する。</w:t>
      </w:r>
    </w:p>
    <w:p w14:paraId="6232F4DC" w14:textId="77777777" w:rsidR="009B7B21" w:rsidRDefault="00000000">
      <w:pPr>
        <w:rPr>
          <w:lang w:eastAsia="ja-JP"/>
        </w:rPr>
      </w:pPr>
      <w:r>
        <w:rPr>
          <w:rFonts w:ascii="Noto Sans CJK JP" w:eastAsia="Noto Sans CJK JP" w:hAnsi="Noto Sans CJK JP"/>
          <w:lang w:eastAsia="ja-JP"/>
        </w:rPr>
        <w:t>• AIは図面事実・計算・不確実性を提示するが、設計判断を勝手に補完しない。</w:t>
      </w:r>
    </w:p>
    <w:p w14:paraId="57E882F3" w14:textId="77777777" w:rsidR="009B7B21" w:rsidRDefault="00000000">
      <w:pPr>
        <w:rPr>
          <w:lang w:eastAsia="ja-JP"/>
        </w:rPr>
      </w:pPr>
      <w:r>
        <w:rPr>
          <w:rFonts w:ascii="Noto Sans CJK JP" w:eastAsia="Noto Sans CJK JP" w:hAnsi="Noto Sans CJK JP"/>
          <w:lang w:eastAsia="ja-JP"/>
        </w:rPr>
        <w:t>• 人間の回答は自由文のまま数量へ直接上書きせず、HUMAN_REVIEW_FINALを介して再現可能なパラメータへ変換する。</w:t>
      </w:r>
    </w:p>
    <w:p w14:paraId="0DF48038" w14:textId="77777777" w:rsidR="009B7B21" w:rsidRDefault="00000000">
      <w:r>
        <w:rPr>
          <w:rFonts w:ascii="Noto Sans CJK JP" w:eastAsia="Noto Sans CJK JP" w:hAnsi="Noto Sans CJK JP"/>
        </w:rPr>
        <w:t xml:space="preserve">• </w:t>
      </w:r>
      <w:proofErr w:type="spellStart"/>
      <w:r>
        <w:rPr>
          <w:rFonts w:ascii="Noto Sans CJK JP" w:eastAsia="Noto Sans CJK JP" w:hAnsi="Noto Sans CJK JP"/>
        </w:rPr>
        <w:t>HUMAN_REVIEW_FINALは古いAIのunresolved</w:t>
      </w:r>
      <w:proofErr w:type="spellEnd"/>
      <w:r>
        <w:rPr>
          <w:rFonts w:ascii="Noto Sans CJK JP" w:eastAsia="Noto Sans CJK JP" w:hAnsi="Noto Sans CJK JP"/>
        </w:rPr>
        <w:t>/</w:t>
      </w:r>
      <w:proofErr w:type="spellStart"/>
      <w:r>
        <w:rPr>
          <w:rFonts w:ascii="Noto Sans CJK JP" w:eastAsia="Noto Sans CJK JP" w:hAnsi="Noto Sans CJK JP"/>
        </w:rPr>
        <w:t>conflict判定より上位の最終権限として保護する</w:t>
      </w:r>
      <w:proofErr w:type="spellEnd"/>
      <w:r>
        <w:rPr>
          <w:rFonts w:ascii="Noto Sans CJK JP" w:eastAsia="Noto Sans CJK JP" w:hAnsi="Noto Sans CJK JP"/>
        </w:rPr>
        <w:t>。</w:t>
      </w:r>
    </w:p>
    <w:p w14:paraId="77E792F2" w14:textId="77777777" w:rsidR="009B7B21" w:rsidRDefault="00000000">
      <w:r>
        <w:rPr>
          <w:rFonts w:ascii="Noto Sans CJK JP" w:eastAsia="Noto Sans CJK JP" w:hAnsi="Noto Sans CJK JP"/>
        </w:rPr>
        <w:lastRenderedPageBreak/>
        <w:t>• 人間回答後の数量は、人間承認パラメータ＋図面幾何による再計算値として扱う。</w:t>
      </w:r>
    </w:p>
    <w:p w14:paraId="09FD4D5F" w14:textId="77777777" w:rsidR="009B7B21" w:rsidRDefault="00000000">
      <w:pPr>
        <w:pStyle w:val="a0"/>
        <w:rPr>
          <w:lang w:eastAsia="ja-JP"/>
        </w:rPr>
      </w:pPr>
      <w:r>
        <w:rPr>
          <w:lang w:eastAsia="ja-JP"/>
        </w:rPr>
        <w:t>この仕組みにより、AZRASはAIが根拠を集め、解けない判断を人間へ戻し、人間の判断を再計算可能なデータとしてシステムへ戻すHuman-in-the-loop型の建築数量システムへ発展した。</w:t>
      </w:r>
    </w:p>
    <w:p w14:paraId="558DE7F0" w14:textId="77777777" w:rsidR="009B7B21" w:rsidRDefault="009B7B21">
      <w:pPr>
        <w:rPr>
          <w:lang w:eastAsia="ja-JP"/>
        </w:rPr>
      </w:pPr>
    </w:p>
    <w:p w14:paraId="4007C565" w14:textId="77777777" w:rsidR="009B7B21" w:rsidRPr="00CF00C4" w:rsidRDefault="00000000">
      <w:pPr>
        <w:pStyle w:val="2"/>
        <w:rPr>
          <w:rFonts w:ascii="ＭＳ Ｐゴシック" w:eastAsia="ＭＳ Ｐゴシック" w:hAnsi="ＭＳ Ｐゴシック"/>
          <w:bCs w:val="0"/>
          <w:lang w:eastAsia="ja-JP"/>
        </w:rPr>
      </w:pPr>
      <w:r w:rsidRPr="00CF00C4">
        <w:rPr>
          <w:rFonts w:ascii="ＭＳ Ｐゴシック" w:eastAsia="ＭＳ Ｐゴシック" w:hAnsi="ＭＳ Ｐゴシック"/>
          <w:bCs w:val="0"/>
          <w:lang w:eastAsia="ja-JP"/>
        </w:rPr>
        <w:t>16. 同一図面・同一質問を保存し、AIの進化そのものを観測する仕組み</w:t>
      </w:r>
    </w:p>
    <w:p w14:paraId="052C7A0E" w14:textId="77777777" w:rsidR="009B7B21" w:rsidRDefault="00000000">
      <w:pPr>
        <w:pStyle w:val="FirstParagraph"/>
      </w:pPr>
      <w:proofErr w:type="spellStart"/>
      <w:r>
        <w:t>同日、AZRAS</w:t>
      </w:r>
      <w:proofErr w:type="spellEnd"/>
      <w:r>
        <w:t xml:space="preserve"> Planning v1.0.563〜v1.0.564では、通常のAI積算とは分離して「AI Evolution / AI定点観測」記録層が追加された。</w:t>
      </w:r>
    </w:p>
    <w:p w14:paraId="16530DB5" w14:textId="77777777" w:rsidR="009B7B21" w:rsidRDefault="00000000">
      <w:pPr>
        <w:pStyle w:val="a0"/>
        <w:rPr>
          <w:lang w:eastAsia="ja-JP"/>
        </w:rPr>
      </w:pPr>
      <w:r>
        <w:rPr>
          <w:lang w:eastAsia="ja-JP"/>
        </w:rPr>
        <w:t>この機能を追加した理由は、AIモデルが将来更新されたとき、同じ実務図面を以前より正確に読めるようになったのか、逆に以前読めた項目を読めなくなったのかを実データで検証できるようにするためである。単発のベンチマークではなく、同じ建築課題を時間を置いて繰り返すことで、AIの改善・退化・判断傾向の変化を縦断的に記録できる。</w:t>
      </w:r>
    </w:p>
    <w:p w14:paraId="0B418916" w14:textId="77777777" w:rsidR="009B7B21" w:rsidRDefault="00000000">
      <w:pPr>
        <w:pStyle w:val="a0"/>
        <w:rPr>
          <w:lang w:eastAsia="ja-JP"/>
        </w:rPr>
      </w:pPr>
      <w:r>
        <w:rPr>
          <w:lang w:eastAsia="ja-JP"/>
        </w:rPr>
        <w:t>観測条件を固定するため、AZRASはAIへ送る依頼文、固定プロトコル、回答メタデータ形式、ManifestをAI定点観測パッケージZIPとして生成する。PDF/ZIP図面は従来どおり別添とし、Manifestには各図面のファイル名・容量・SHA-256を記録する。SHA-256はファイル内容の指紋として使われ、将来の観測でも同一の図面ファイルを使用したことを検証できる。</w:t>
      </w:r>
    </w:p>
    <w:p w14:paraId="6C34CA89" w14:textId="77777777" w:rsidR="009B7B21" w:rsidRDefault="00000000">
      <w:pPr>
        <w:pStyle w:val="a0"/>
        <w:rPr>
          <w:lang w:eastAsia="ja-JP"/>
        </w:rPr>
      </w:pPr>
      <w:r>
        <w:rPr>
          <w:lang w:eastAsia="ja-JP"/>
        </w:rPr>
        <w:t>各AIには過去回の回答や他AIの回答を見せない。AIが返すのは自身のモデル情報、数量、単位、Confidence、Drawing Proof、Calculation Basis、Interpretation Basis、Uncertainty等の独立回答である。前回との差、他AIとの差、人間最終判断はAZRAS側だけで保持する。</w:t>
      </w:r>
    </w:p>
    <w:p w14:paraId="404AD6CA" w14:textId="77777777" w:rsidR="009B7B21" w:rsidRDefault="00000000">
      <w:pPr>
        <w:rPr>
          <w:lang w:eastAsia="ja-JP"/>
        </w:rPr>
      </w:pPr>
      <w:r>
        <w:rPr>
          <w:rFonts w:ascii="Noto Sans CJK JP" w:eastAsia="Noto Sans CJK JP" w:hAnsi="Noto Sans CJK JP"/>
          <w:lang w:eastAsia="ja-JP"/>
        </w:rPr>
        <w:t>• 正式数量・建設費計算とAI進化観測ログを分離し、研究記録を正式計算へ混入させない。</w:t>
      </w:r>
    </w:p>
    <w:p w14:paraId="121EE850" w14:textId="77777777" w:rsidR="009B7B21" w:rsidRDefault="00000000">
      <w:pPr>
        <w:rPr>
          <w:lang w:eastAsia="ja-JP"/>
        </w:rPr>
      </w:pPr>
      <w:r>
        <w:rPr>
          <w:rFonts w:ascii="Noto Sans CJK JP" w:eastAsia="Noto Sans CJK JP" w:hAnsi="Noto Sans CJK JP"/>
          <w:lang w:eastAsia="ja-JP"/>
        </w:rPr>
        <w:t>• 依頼文と図面セットのSHA-256をManifestへ記録し、同一条件を検証する。</w:t>
      </w:r>
    </w:p>
    <w:p w14:paraId="46C3123D" w14:textId="77777777" w:rsidR="009B7B21" w:rsidRDefault="00000000">
      <w:r>
        <w:rPr>
          <w:rFonts w:ascii="Noto Sans CJK JP" w:eastAsia="Noto Sans CJK JP" w:hAnsi="Noto Sans CJK JP"/>
        </w:rPr>
        <w:t xml:space="preserve">• </w:t>
      </w:r>
      <w:proofErr w:type="spellStart"/>
      <w:r>
        <w:rPr>
          <w:rFonts w:ascii="Noto Sans CJK JP" w:eastAsia="Noto Sans CJK JP" w:hAnsi="Noto Sans CJK JP"/>
        </w:rPr>
        <w:t>各AI回答はAI_Evolution</w:t>
      </w:r>
      <w:proofErr w:type="spellEnd"/>
      <w:r>
        <w:rPr>
          <w:rFonts w:ascii="Noto Sans CJK JP" w:eastAsia="Noto Sans CJK JP" w:hAnsi="Noto Sans CJK JP"/>
        </w:rPr>
        <w:t>/Rx/</w:t>
      </w:r>
      <w:proofErr w:type="spellStart"/>
      <w:r>
        <w:rPr>
          <w:rFonts w:ascii="Noto Sans CJK JP" w:eastAsia="Noto Sans CJK JP" w:hAnsi="Noto Sans CJK JP"/>
        </w:rPr>
        <w:t>Responsesへ独立観測記録として保存する</w:t>
      </w:r>
      <w:proofErr w:type="spellEnd"/>
      <w:r>
        <w:rPr>
          <w:rFonts w:ascii="Noto Sans CJK JP" w:eastAsia="Noto Sans CJK JP" w:hAnsi="Noto Sans CJK JP"/>
        </w:rPr>
        <w:t>。</w:t>
      </w:r>
    </w:p>
    <w:p w14:paraId="449F8B72" w14:textId="77777777" w:rsidR="009B7B21" w:rsidRDefault="00000000">
      <w:r>
        <w:rPr>
          <w:rFonts w:ascii="Noto Sans CJK JP" w:eastAsia="Noto Sans CJK JP" w:hAnsi="Noto Sans CJK JP"/>
        </w:rPr>
        <w:t>• R1、R2、R3…を比較し、正答率だけでなく、不明判断、根拠特定、計算過程、Confidenceの変化も追跡する。</w:t>
      </w:r>
    </w:p>
    <w:p w14:paraId="37B573B9" w14:textId="77777777" w:rsidR="009B7B21" w:rsidRDefault="00000000">
      <w:pPr>
        <w:pStyle w:val="a0"/>
        <w:rPr>
          <w:lang w:eastAsia="ja-JP"/>
        </w:rPr>
      </w:pPr>
      <w:r>
        <w:rPr>
          <w:lang w:eastAsia="ja-JP"/>
        </w:rPr>
        <w:t>この結果、AZRASは建築計画・積算・評価の実務ソフトであると同時に、実際の建築図面を用いて複数AIの能力変化を長期間観測できるlongitudinal multi-model benchmarkingの基盤としても利用できる方向へ進んだ。</w:t>
      </w:r>
    </w:p>
    <w:p w14:paraId="47255BD8" w14:textId="77777777" w:rsidR="009B7B21" w:rsidRDefault="009B7B21">
      <w:pPr>
        <w:rPr>
          <w:lang w:eastAsia="ja-JP"/>
        </w:rPr>
      </w:pPr>
    </w:p>
    <w:p w14:paraId="7F414CED" w14:textId="77777777" w:rsidR="009B7B21" w:rsidRPr="00CF00C4" w:rsidRDefault="00000000">
      <w:pPr>
        <w:pStyle w:val="2"/>
        <w:rPr>
          <w:rFonts w:ascii="ＭＳ Ｐゴシック" w:eastAsia="ＭＳ Ｐゴシック" w:hAnsi="ＭＳ Ｐゴシック"/>
          <w:bCs w:val="0"/>
          <w:lang w:eastAsia="ja-JP"/>
        </w:rPr>
      </w:pPr>
      <w:r w:rsidRPr="00CF00C4">
        <w:rPr>
          <w:rFonts w:ascii="ＭＳ Ｐゴシック" w:eastAsia="ＭＳ Ｐゴシック" w:hAnsi="ＭＳ Ｐゴシック"/>
          <w:bCs w:val="0"/>
          <w:lang w:eastAsia="ja-JP"/>
        </w:rPr>
        <w:t>17. AI・人間・AZRASの責任分担</w:t>
      </w:r>
    </w:p>
    <w:p w14:paraId="073109AD" w14:textId="77777777" w:rsidR="009B7B21" w:rsidRDefault="00000000">
      <w:pPr>
        <w:pStyle w:val="FirstParagraph"/>
        <w:rPr>
          <w:lang w:eastAsia="ja-JP"/>
        </w:rPr>
      </w:pPr>
      <w:r>
        <w:rPr>
          <w:lang w:eastAsia="ja-JP"/>
        </w:rPr>
        <w:t>AI：図面読取り、独立数量算定、根拠提示、不確実性の明示。AZRAS上では証拠・候補・再確認を担当する。</w:t>
      </w:r>
    </w:p>
    <w:p w14:paraId="7F4CE2C6" w14:textId="77777777" w:rsidR="009B7B21" w:rsidRDefault="00000000">
      <w:pPr>
        <w:pStyle w:val="a0"/>
        <w:rPr>
          <w:lang w:eastAsia="ja-JP"/>
        </w:rPr>
      </w:pPr>
      <w:r>
        <w:rPr>
          <w:lang w:eastAsia="ja-JP"/>
        </w:rPr>
        <w:t>人間／設計者：図面矛盾、仕様優先順位、設計意図などAIだけでは確定できない判断。HUMAN_REVIEW_FINALによる正式判断を担当する。</w:t>
      </w:r>
    </w:p>
    <w:p w14:paraId="43A4B739" w14:textId="77777777" w:rsidR="009B7B21" w:rsidRDefault="00000000">
      <w:pPr>
        <w:pStyle w:val="a0"/>
        <w:rPr>
          <w:lang w:eastAsia="ja-JP"/>
        </w:rPr>
      </w:pPr>
      <w:r>
        <w:rPr>
          <w:lang w:eastAsia="ja-JP"/>
        </w:rPr>
        <w:lastRenderedPageBreak/>
        <w:t>AZRAS：正式データ保持、再計算、履歴分離、下流計算への接続を担う再現可能なSystem of Recordである。</w:t>
      </w:r>
    </w:p>
    <w:p w14:paraId="2115D1C3" w14:textId="77777777" w:rsidR="009B7B21" w:rsidRDefault="00000000">
      <w:pPr>
        <w:pStyle w:val="a0"/>
        <w:rPr>
          <w:lang w:eastAsia="ja-JP"/>
        </w:rPr>
      </w:pPr>
      <w:r>
        <w:rPr>
          <w:lang w:eastAsia="ja-JP"/>
        </w:rPr>
        <w:t>この責任分担は、AIが得意な大量読取り・比較・根拠整理を最大限利用しつつ、AIだけでは正当に決められない部分だけを人間へ戻し、その判断を再現可能な形式でAZRASへ固定することを目的としている。</w:t>
      </w:r>
    </w:p>
    <w:p w14:paraId="5D1CE753" w14:textId="77777777" w:rsidR="009B7B21" w:rsidRDefault="009B7B21">
      <w:pPr>
        <w:rPr>
          <w:lang w:eastAsia="ja-JP"/>
        </w:rPr>
      </w:pPr>
    </w:p>
    <w:p w14:paraId="38E351EA" w14:textId="77777777" w:rsidR="009B7B21" w:rsidRPr="00CF00C4" w:rsidRDefault="00000000">
      <w:pPr>
        <w:pStyle w:val="2"/>
        <w:rPr>
          <w:rFonts w:ascii="ＭＳ Ｐゴシック" w:eastAsia="ＭＳ Ｐゴシック" w:hAnsi="ＭＳ Ｐゴシック"/>
          <w:bCs w:val="0"/>
          <w:lang w:eastAsia="ja-JP"/>
        </w:rPr>
      </w:pPr>
      <w:r w:rsidRPr="00CF00C4">
        <w:rPr>
          <w:rFonts w:ascii="ＭＳ Ｐゴシック" w:eastAsia="ＭＳ Ｐゴシック" w:hAnsi="ＭＳ Ｐゴシック"/>
          <w:bCs w:val="0"/>
          <w:lang w:eastAsia="ja-JP"/>
        </w:rPr>
        <w:t>18. 結び</w:t>
      </w:r>
    </w:p>
    <w:p w14:paraId="03CA5408" w14:textId="77777777" w:rsidR="009B7B21" w:rsidRDefault="00000000">
      <w:pPr>
        <w:pStyle w:val="FirstParagraph"/>
        <w:rPr>
          <w:lang w:eastAsia="ja-JP"/>
        </w:rPr>
      </w:pPr>
      <w:r>
        <w:rPr>
          <w:lang w:eastAsia="ja-JP"/>
        </w:rPr>
        <w:t>AZRASの開発は、最初から完成形を設計して一直線に進んだものではない。実際の図面、実際の比較、実際の不具合、そしてAIとの長期間の共同開発を通じて、方式を何度も検証しながら形成されてきた。</w:t>
      </w:r>
    </w:p>
    <w:p w14:paraId="0406581A" w14:textId="77777777" w:rsidR="009B7B21" w:rsidRDefault="00000000">
      <w:pPr>
        <w:pStyle w:val="a0"/>
        <w:rPr>
          <w:lang w:eastAsia="ja-JP"/>
        </w:rPr>
      </w:pPr>
      <w:r>
        <w:rPr>
          <w:lang w:eastAsia="ja-JP"/>
        </w:rPr>
        <w:t>2026年8月31日に加わった重要な考え方は、「AIがAZRASの開発思想を記憶し続けること」を前提にしないことである。AZRAS自身が現在の正式決定を保持し、任意のAIがそれを読み、共通データと検証規則に従って作業する。これによりAny AI Architectureは、図面解析だけでなく、将来の保守・修正・発展そのものへ拡張された。</w:t>
      </w:r>
    </w:p>
    <w:p w14:paraId="026EA2D5" w14:textId="77777777" w:rsidR="009B7B21" w:rsidRDefault="00000000">
      <w:pPr>
        <w:pStyle w:val="a0"/>
        <w:rPr>
          <w:lang w:eastAsia="ja-JP"/>
        </w:rPr>
      </w:pPr>
      <w:r>
        <w:rPr>
          <w:lang w:eastAsia="ja-JP"/>
        </w:rPr>
        <w:t>さらに2026年9月7日には、AIだけでは確定できない図面判断を人間の正式回答へ接続するHUMAN_REVIEW_FINAL、同一図面・同一質問を保存してAIモデルの進化を継続観測するAI Evolution、そしてAI・人間・AZRASの責任分担が明確化された。これによりAZRASは、AIにすべてを決めさせるのではなく、AIが証拠と候補を提示し、人間が設計判断を行い、AZRASが正式データ・再計算・履歴を保持するHuman-in-the-loop型のシステムとして位置付けられた。</w:t>
      </w:r>
    </w:p>
    <w:p w14:paraId="6969807F" w14:textId="77777777" w:rsidR="009B7B21" w:rsidRDefault="00000000">
      <w:pPr>
        <w:pStyle w:val="a0"/>
        <w:rPr>
          <w:lang w:eastAsia="ja-JP"/>
        </w:rPr>
      </w:pPr>
      <w:r>
        <w:rPr>
          <w:lang w:eastAsia="ja-JP"/>
        </w:rPr>
        <w:t>したがってAZRASの開発史は単なる機能追加の履歴ではない。「どの情報をAIに任せ、どの計算と責任を再現可能なシステム側に残すか」、「AIだけでは決められない判断をどのように人間へ戻すか」、「同一条件でAIの進化をどのように検証するか」、さらに「AIと人間が長期間共同開発するとき、正式な設計判断をどこに保持するか」を、実務の中で検証してきた記録でもある。</w:t>
      </w:r>
    </w:p>
    <w:sectPr w:rsidR="009B7B21">
      <w:footerReference w:type="default" r:id="rId7"/>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12D59" w14:textId="77777777" w:rsidR="00227EFD" w:rsidRDefault="00227EFD">
      <w:pPr>
        <w:spacing w:after="0"/>
      </w:pPr>
      <w:r>
        <w:separator/>
      </w:r>
    </w:p>
  </w:endnote>
  <w:endnote w:type="continuationSeparator" w:id="0">
    <w:p w14:paraId="3D1032CC" w14:textId="77777777" w:rsidR="00227EFD" w:rsidRDefault="00227EF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Noto Sans CJK JP">
    <w:altName w:val="Cambria"/>
    <w:panose1 w:val="00000000000000000000"/>
    <w:charset w:val="00"/>
    <w:family w:val="roman"/>
    <w:notTrueType/>
    <w:pitch w:val="default"/>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6E1FE" w14:textId="77777777" w:rsidR="009B7B21" w:rsidRDefault="00000000">
    <w:pPr>
      <w:jc w:val="center"/>
    </w:pPr>
    <w:r>
      <w:rPr>
        <w:sz w:val="16"/>
      </w:rPr>
      <w:t>AZRAS | ACE Comprehensive Consulting Co.,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8A18A" w14:textId="77777777" w:rsidR="00227EFD" w:rsidRDefault="00227EFD">
      <w:r>
        <w:separator/>
      </w:r>
    </w:p>
  </w:footnote>
  <w:footnote w:type="continuationSeparator" w:id="0">
    <w:p w14:paraId="05B65D01" w14:textId="77777777" w:rsidR="00227EFD" w:rsidRDefault="00227E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8C8816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894270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B7B21"/>
    <w:rsid w:val="00227EFD"/>
    <w:rsid w:val="005D15B0"/>
    <w:rsid w:val="007148BE"/>
    <w:rsid w:val="007A1AC9"/>
    <w:rsid w:val="00871525"/>
    <w:rsid w:val="009B7B21"/>
    <w:rsid w:val="00CF00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B3C34C6"/>
  <w15:docId w15:val="{96931E84-9787-4A39-9DDF-9E5771BF5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Yu Gothic" w:eastAsia="Yu Gothic" w:hAnsi="Yu Gothic"/>
      <w:sz w:val="21"/>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rPr>
      <w:rFonts w:ascii="Noto Sans CJK JP" w:eastAsia="Noto Sans CJK JP" w:hAnsi="Noto Sans CJK JP"/>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rFonts w:ascii="Noto Sans CJK JP" w:eastAsia="Noto Sans CJK JP" w:hAnsi="Noto Sans CJK JP"/>
      <w:sz w:val="30"/>
      <w:szCs w:val="30"/>
    </w:rPr>
  </w:style>
  <w:style w:type="paragraph" w:customStyle="1" w:styleId="Author">
    <w:name w:val="Author"/>
    <w:next w:val="a0"/>
    <w:qFormat/>
    <w:pPr>
      <w:keepNext/>
      <w:keepLines/>
      <w:jc w:val="center"/>
    </w:pPr>
    <w:rPr>
      <w:rFonts w:ascii="Noto Sans CJK JP" w:eastAsia="Noto Sans CJK JP" w:hAnsi="Noto Sans CJK JP"/>
    </w:rPr>
  </w:style>
  <w:style w:type="paragraph" w:styleId="a6">
    <w:name w:val="Date"/>
    <w:next w:val="a0"/>
    <w:qFormat/>
    <w:pPr>
      <w:keepNext/>
      <w:keepLines/>
      <w:jc w:val="center"/>
    </w:pPr>
    <w:rPr>
      <w:rFonts w:ascii="Noto Sans CJK JP" w:eastAsia="Noto Sans CJK JP" w:hAnsi="Noto Sans CJK JP"/>
    </w:rPr>
  </w:style>
  <w:style w:type="paragraph" w:customStyle="1" w:styleId="AbstractTitle">
    <w:name w:val="Abstract Title"/>
    <w:basedOn w:val="a"/>
    <w:next w:val="Abstract"/>
    <w:qFormat/>
    <w:pPr>
      <w:keepNext/>
      <w:keepLines/>
      <w:spacing w:before="300" w:after="0"/>
      <w:jc w:val="center"/>
    </w:pPr>
    <w:rPr>
      <w:rFonts w:ascii="Noto Sans CJK JP" w:eastAsia="Noto Sans CJK JP" w:hAnsi="Noto Sans CJK JP"/>
      <w:b/>
      <w:color w:val="345A8A"/>
      <w:sz w:val="20"/>
      <w:szCs w:val="20"/>
    </w:rPr>
  </w:style>
  <w:style w:type="paragraph" w:customStyle="1" w:styleId="Abstract">
    <w:name w:val="Abstract"/>
    <w:basedOn w:val="a"/>
    <w:next w:val="a0"/>
    <w:qFormat/>
    <w:pPr>
      <w:keepNext/>
      <w:keepLines/>
      <w:spacing w:before="100" w:after="300"/>
    </w:pPr>
    <w:rPr>
      <w:rFonts w:ascii="Noto Sans CJK JP" w:eastAsia="Noto Sans CJK JP" w:hAnsi="Noto Sans CJK JP"/>
      <w:sz w:val="20"/>
      <w:szCs w:val="20"/>
    </w:rPr>
  </w:style>
  <w:style w:type="paragraph" w:styleId="a7">
    <w:name w:val="Bibliography"/>
    <w:basedOn w:val="a"/>
    <w:qFormat/>
    <w:rPr>
      <w:rFonts w:ascii="Noto Sans CJK JP" w:eastAsia="Noto Sans CJK JP" w:hAnsi="Noto Sans CJK JP"/>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rPr>
      <w:rFonts w:ascii="Noto Sans CJK JP" w:eastAsia="Noto Sans CJK JP" w:hAnsi="Noto Sans CJK JP"/>
    </w:rPr>
  </w:style>
  <w:style w:type="paragraph" w:customStyle="1" w:styleId="FootnoteBlockText">
    <w:name w:val="Footnote Block Text"/>
    <w:uiPriority w:val="9"/>
    <w:unhideWhenUsed/>
    <w:qFormat/>
    <w:pPr>
      <w:spacing w:before="100" w:after="100"/>
      <w:ind w:left="480" w:right="480"/>
    </w:pPr>
    <w:rPr>
      <w:rFonts w:ascii="Noto Sans CJK JP" w:eastAsia="Noto Sans CJK JP" w:hAnsi="Noto Sans CJK JP"/>
    </w:rPr>
  </w:style>
  <w:style w:type="table" w:customStyle="1" w:styleId="Table">
    <w:name w:val="Table"/>
    <w:semiHidden/>
    <w:unhideWhenUsed/>
    <w:qFormat/>
    <w:rPr>
      <w:rFonts w:ascii="Noto Sans CJK JP" w:eastAsia="Noto Sans CJK JP" w:hAnsi="Noto Sans CJK JP"/>
      <w:sz w:val="20"/>
      <w:szCs w:val="20"/>
      <w:lang w:eastAsia="ja-JP"/>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rFonts w:ascii="Noto Sans CJK JP" w:eastAsia="Noto Sans CJK JP" w:hAnsi="Noto Sans CJK JP"/>
      <w:b/>
    </w:rPr>
  </w:style>
  <w:style w:type="paragraph" w:customStyle="1" w:styleId="Definition">
    <w:name w:val="Definition"/>
    <w:basedOn w:val="a"/>
    <w:rPr>
      <w:rFonts w:ascii="Noto Sans CJK JP" w:eastAsia="Noto Sans CJK JP" w:hAnsi="Noto Sans CJK JP"/>
    </w:rPr>
  </w:style>
  <w:style w:type="paragraph" w:styleId="aa">
    <w:name w:val="caption"/>
    <w:basedOn w:val="a"/>
    <w:link w:val="ab"/>
    <w:pPr>
      <w:spacing w:after="120"/>
    </w:pPr>
    <w:rPr>
      <w:rFonts w:ascii="Noto Sans CJK JP" w:eastAsia="Noto Sans CJK JP" w:hAnsi="Noto Sans CJK JP"/>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rPr>
      <w:rFonts w:ascii="Noto Sans CJK JP" w:eastAsia="Noto Sans CJK JP" w:hAnsi="Noto Sans CJK JP"/>
    </w:rPr>
  </w:style>
  <w:style w:type="paragraph" w:customStyle="1" w:styleId="CaptionedFigure">
    <w:name w:val="Captioned Figure"/>
    <w:basedOn w:val="Figure"/>
    <w:pPr>
      <w:keepNext/>
    </w:pPr>
  </w:style>
  <w:style w:type="character" w:customStyle="1" w:styleId="ab">
    <w:name w:val="図表番号 (文字)"/>
    <w:basedOn w:val="a1"/>
    <w:link w:val="aa"/>
    <w:rPr>
      <w:rFonts w:ascii="Noto Sans CJK JP" w:eastAsia="Noto Sans CJK JP" w:hAnsi="Noto Sans CJK JP"/>
    </w:rPr>
  </w:style>
  <w:style w:type="character" w:customStyle="1" w:styleId="VerbatimChar">
    <w:name w:val="Verbatim Char"/>
    <w:basedOn w:val="ab"/>
    <w:link w:val="SourceCode"/>
    <w:rPr>
      <w:rFonts w:ascii="Noto Sans CJK JP" w:eastAsia="Noto Sans CJK JP" w:hAnsi="Noto Sans CJK JP"/>
      <w:sz w:val="22"/>
    </w:rPr>
  </w:style>
  <w:style w:type="character" w:customStyle="1" w:styleId="SectionNumber">
    <w:name w:val="Section Number"/>
    <w:basedOn w:val="ab"/>
    <w:rPr>
      <w:rFonts w:ascii="Noto Sans CJK JP" w:eastAsia="Noto Sans CJK JP" w:hAnsi="Noto Sans CJK JP"/>
    </w:rPr>
  </w:style>
  <w:style w:type="character" w:styleId="ac">
    <w:name w:val="footnote reference"/>
    <w:basedOn w:val="ab"/>
    <w:rPr>
      <w:rFonts w:ascii="Noto Sans CJK JP" w:eastAsia="Noto Sans CJK JP" w:hAnsi="Noto Sans CJK JP"/>
      <w:vertAlign w:val="superscript"/>
    </w:rPr>
  </w:style>
  <w:style w:type="character" w:styleId="ad">
    <w:name w:val="Hyperlink"/>
    <w:basedOn w:val="ab"/>
    <w:rPr>
      <w:rFonts w:ascii="Noto Sans CJK JP" w:eastAsia="Noto Sans CJK JP" w:hAnsi="Noto Sans CJK JP"/>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rPr>
      <w:rFonts w:ascii="Noto Sans CJK JP" w:eastAsia="Noto Sans CJK JP" w:hAnsi="Noto Sans CJK JP"/>
    </w:rPr>
  </w:style>
  <w:style w:type="character" w:customStyle="1" w:styleId="KeywordTok">
    <w:name w:val="KeywordTok"/>
    <w:basedOn w:val="VerbatimChar"/>
    <w:rPr>
      <w:rFonts w:ascii="Noto Sans CJK JP" w:eastAsia="Noto Sans CJK JP" w:hAnsi="Noto Sans CJK JP"/>
      <w:b/>
      <w:color w:val="007020"/>
      <w:sz w:val="22"/>
    </w:rPr>
  </w:style>
  <w:style w:type="character" w:customStyle="1" w:styleId="DataTypeTok">
    <w:name w:val="DataTypeTok"/>
    <w:basedOn w:val="VerbatimChar"/>
    <w:rPr>
      <w:rFonts w:ascii="Noto Sans CJK JP" w:eastAsia="Noto Sans CJK JP" w:hAnsi="Noto Sans CJK JP"/>
      <w:color w:val="902000"/>
      <w:sz w:val="22"/>
    </w:rPr>
  </w:style>
  <w:style w:type="character" w:customStyle="1" w:styleId="DecValTok">
    <w:name w:val="DecValTok"/>
    <w:basedOn w:val="VerbatimChar"/>
    <w:rPr>
      <w:rFonts w:ascii="Noto Sans CJK JP" w:eastAsia="Noto Sans CJK JP" w:hAnsi="Noto Sans CJK JP"/>
      <w:color w:val="40A070"/>
      <w:sz w:val="22"/>
    </w:rPr>
  </w:style>
  <w:style w:type="character" w:customStyle="1" w:styleId="BaseNTok">
    <w:name w:val="BaseNTok"/>
    <w:basedOn w:val="VerbatimChar"/>
    <w:rPr>
      <w:rFonts w:ascii="Noto Sans CJK JP" w:eastAsia="Noto Sans CJK JP" w:hAnsi="Noto Sans CJK JP"/>
      <w:color w:val="40A070"/>
      <w:sz w:val="22"/>
    </w:rPr>
  </w:style>
  <w:style w:type="character" w:customStyle="1" w:styleId="FloatTok">
    <w:name w:val="FloatTok"/>
    <w:basedOn w:val="VerbatimChar"/>
    <w:rPr>
      <w:rFonts w:ascii="Noto Sans CJK JP" w:eastAsia="Noto Sans CJK JP" w:hAnsi="Noto Sans CJK JP"/>
      <w:color w:val="40A070"/>
      <w:sz w:val="22"/>
    </w:rPr>
  </w:style>
  <w:style w:type="character" w:customStyle="1" w:styleId="ConstantTok">
    <w:name w:val="ConstantTok"/>
    <w:basedOn w:val="VerbatimChar"/>
    <w:rPr>
      <w:rFonts w:ascii="Noto Sans CJK JP" w:eastAsia="Noto Sans CJK JP" w:hAnsi="Noto Sans CJK JP"/>
      <w:color w:val="880000"/>
      <w:sz w:val="22"/>
    </w:rPr>
  </w:style>
  <w:style w:type="character" w:customStyle="1" w:styleId="CharTok">
    <w:name w:val="CharTok"/>
    <w:basedOn w:val="VerbatimChar"/>
    <w:rPr>
      <w:rFonts w:ascii="Noto Sans CJK JP" w:eastAsia="Noto Sans CJK JP" w:hAnsi="Noto Sans CJK JP"/>
      <w:color w:val="4070A0"/>
      <w:sz w:val="22"/>
    </w:rPr>
  </w:style>
  <w:style w:type="character" w:customStyle="1" w:styleId="SpecialCharTok">
    <w:name w:val="SpecialCharTok"/>
    <w:basedOn w:val="VerbatimChar"/>
    <w:rPr>
      <w:rFonts w:ascii="Noto Sans CJK JP" w:eastAsia="Noto Sans CJK JP" w:hAnsi="Noto Sans CJK JP"/>
      <w:color w:val="4070A0"/>
      <w:sz w:val="22"/>
    </w:rPr>
  </w:style>
  <w:style w:type="character" w:customStyle="1" w:styleId="StringTok">
    <w:name w:val="StringTok"/>
    <w:basedOn w:val="VerbatimChar"/>
    <w:rPr>
      <w:rFonts w:ascii="Noto Sans CJK JP" w:eastAsia="Noto Sans CJK JP" w:hAnsi="Noto Sans CJK JP"/>
      <w:color w:val="4070A0"/>
      <w:sz w:val="22"/>
    </w:rPr>
  </w:style>
  <w:style w:type="character" w:customStyle="1" w:styleId="VerbatimStringTok">
    <w:name w:val="VerbatimStringTok"/>
    <w:basedOn w:val="VerbatimChar"/>
    <w:rPr>
      <w:rFonts w:ascii="Noto Sans CJK JP" w:eastAsia="Noto Sans CJK JP" w:hAnsi="Noto Sans CJK JP"/>
      <w:color w:val="4070A0"/>
      <w:sz w:val="22"/>
    </w:rPr>
  </w:style>
  <w:style w:type="character" w:customStyle="1" w:styleId="SpecialStringTok">
    <w:name w:val="SpecialStringTok"/>
    <w:basedOn w:val="VerbatimChar"/>
    <w:rPr>
      <w:rFonts w:ascii="Noto Sans CJK JP" w:eastAsia="Noto Sans CJK JP" w:hAnsi="Noto Sans CJK JP"/>
      <w:color w:val="BB6688"/>
      <w:sz w:val="22"/>
    </w:rPr>
  </w:style>
  <w:style w:type="character" w:customStyle="1" w:styleId="ImportTok">
    <w:name w:val="ImportTok"/>
    <w:basedOn w:val="VerbatimChar"/>
    <w:rPr>
      <w:rFonts w:ascii="Noto Sans CJK JP" w:eastAsia="Noto Sans CJK JP" w:hAnsi="Noto Sans CJK JP"/>
      <w:b/>
      <w:color w:val="008000"/>
      <w:sz w:val="22"/>
    </w:rPr>
  </w:style>
  <w:style w:type="character" w:customStyle="1" w:styleId="CommentTok">
    <w:name w:val="CommentTok"/>
    <w:basedOn w:val="VerbatimChar"/>
    <w:rPr>
      <w:rFonts w:ascii="Noto Sans CJK JP" w:eastAsia="Noto Sans CJK JP" w:hAnsi="Noto Sans CJK JP"/>
      <w:i/>
      <w:color w:val="60A0B0"/>
      <w:sz w:val="22"/>
    </w:rPr>
  </w:style>
  <w:style w:type="character" w:customStyle="1" w:styleId="DocumentationTok">
    <w:name w:val="DocumentationTok"/>
    <w:basedOn w:val="VerbatimChar"/>
    <w:rPr>
      <w:rFonts w:ascii="Noto Sans CJK JP" w:eastAsia="Noto Sans CJK JP" w:hAnsi="Noto Sans CJK JP"/>
      <w:i/>
      <w:color w:val="BA2121"/>
      <w:sz w:val="22"/>
    </w:rPr>
  </w:style>
  <w:style w:type="character" w:customStyle="1" w:styleId="AnnotationTok">
    <w:name w:val="AnnotationTok"/>
    <w:basedOn w:val="VerbatimChar"/>
    <w:rPr>
      <w:rFonts w:ascii="Noto Sans CJK JP" w:eastAsia="Noto Sans CJK JP" w:hAnsi="Noto Sans CJK JP"/>
      <w:b/>
      <w:i/>
      <w:color w:val="60A0B0"/>
      <w:sz w:val="22"/>
    </w:rPr>
  </w:style>
  <w:style w:type="character" w:customStyle="1" w:styleId="CommentVarTok">
    <w:name w:val="CommentVarTok"/>
    <w:basedOn w:val="VerbatimChar"/>
    <w:rPr>
      <w:rFonts w:ascii="Noto Sans CJK JP" w:eastAsia="Noto Sans CJK JP" w:hAnsi="Noto Sans CJK JP"/>
      <w:b/>
      <w:i/>
      <w:color w:val="60A0B0"/>
      <w:sz w:val="22"/>
    </w:rPr>
  </w:style>
  <w:style w:type="character" w:customStyle="1" w:styleId="OtherTok">
    <w:name w:val="OtherTok"/>
    <w:basedOn w:val="VerbatimChar"/>
    <w:rPr>
      <w:rFonts w:ascii="Noto Sans CJK JP" w:eastAsia="Noto Sans CJK JP" w:hAnsi="Noto Sans CJK JP"/>
      <w:color w:val="007020"/>
      <w:sz w:val="22"/>
    </w:rPr>
  </w:style>
  <w:style w:type="character" w:customStyle="1" w:styleId="FunctionTok">
    <w:name w:val="FunctionTok"/>
    <w:basedOn w:val="VerbatimChar"/>
    <w:rPr>
      <w:rFonts w:ascii="Noto Sans CJK JP" w:eastAsia="Noto Sans CJK JP" w:hAnsi="Noto Sans CJK JP"/>
      <w:color w:val="06287E"/>
      <w:sz w:val="22"/>
    </w:rPr>
  </w:style>
  <w:style w:type="character" w:customStyle="1" w:styleId="VariableTok">
    <w:name w:val="VariableTok"/>
    <w:basedOn w:val="VerbatimChar"/>
    <w:rPr>
      <w:rFonts w:ascii="Noto Sans CJK JP" w:eastAsia="Noto Sans CJK JP" w:hAnsi="Noto Sans CJK JP"/>
      <w:color w:val="19177C"/>
      <w:sz w:val="22"/>
    </w:rPr>
  </w:style>
  <w:style w:type="character" w:customStyle="1" w:styleId="ControlFlowTok">
    <w:name w:val="ControlFlowTok"/>
    <w:basedOn w:val="VerbatimChar"/>
    <w:rPr>
      <w:rFonts w:ascii="Noto Sans CJK JP" w:eastAsia="Noto Sans CJK JP" w:hAnsi="Noto Sans CJK JP"/>
      <w:b/>
      <w:color w:val="007020"/>
      <w:sz w:val="22"/>
    </w:rPr>
  </w:style>
  <w:style w:type="character" w:customStyle="1" w:styleId="OperatorTok">
    <w:name w:val="OperatorTok"/>
    <w:basedOn w:val="VerbatimChar"/>
    <w:rPr>
      <w:rFonts w:ascii="Noto Sans CJK JP" w:eastAsia="Noto Sans CJK JP" w:hAnsi="Noto Sans CJK JP"/>
      <w:color w:val="666666"/>
      <w:sz w:val="22"/>
    </w:rPr>
  </w:style>
  <w:style w:type="character" w:customStyle="1" w:styleId="BuiltInTok">
    <w:name w:val="BuiltInTok"/>
    <w:basedOn w:val="VerbatimChar"/>
    <w:rPr>
      <w:rFonts w:ascii="Noto Sans CJK JP" w:eastAsia="Noto Sans CJK JP" w:hAnsi="Noto Sans CJK JP"/>
      <w:color w:val="008000"/>
      <w:sz w:val="22"/>
    </w:rPr>
  </w:style>
  <w:style w:type="character" w:customStyle="1" w:styleId="ExtensionTok">
    <w:name w:val="ExtensionTok"/>
    <w:basedOn w:val="VerbatimChar"/>
    <w:rPr>
      <w:rFonts w:ascii="Noto Sans CJK JP" w:eastAsia="Noto Sans CJK JP" w:hAnsi="Noto Sans CJK JP"/>
      <w:sz w:val="22"/>
    </w:rPr>
  </w:style>
  <w:style w:type="character" w:customStyle="1" w:styleId="PreprocessorTok">
    <w:name w:val="PreprocessorTok"/>
    <w:basedOn w:val="VerbatimChar"/>
    <w:rPr>
      <w:rFonts w:ascii="Noto Sans CJK JP" w:eastAsia="Noto Sans CJK JP" w:hAnsi="Noto Sans CJK JP"/>
      <w:color w:val="BC7A00"/>
      <w:sz w:val="22"/>
    </w:rPr>
  </w:style>
  <w:style w:type="character" w:customStyle="1" w:styleId="AttributeTok">
    <w:name w:val="AttributeTok"/>
    <w:basedOn w:val="VerbatimChar"/>
    <w:rPr>
      <w:rFonts w:ascii="Noto Sans CJK JP" w:eastAsia="Noto Sans CJK JP" w:hAnsi="Noto Sans CJK JP"/>
      <w:color w:val="7D9029"/>
      <w:sz w:val="22"/>
    </w:rPr>
  </w:style>
  <w:style w:type="character" w:customStyle="1" w:styleId="RegionMarkerTok">
    <w:name w:val="RegionMarkerTok"/>
    <w:basedOn w:val="VerbatimChar"/>
    <w:rPr>
      <w:rFonts w:ascii="Noto Sans CJK JP" w:eastAsia="Noto Sans CJK JP" w:hAnsi="Noto Sans CJK JP"/>
      <w:sz w:val="22"/>
    </w:rPr>
  </w:style>
  <w:style w:type="character" w:customStyle="1" w:styleId="InformationTok">
    <w:name w:val="InformationTok"/>
    <w:basedOn w:val="VerbatimChar"/>
    <w:rPr>
      <w:rFonts w:ascii="Noto Sans CJK JP" w:eastAsia="Noto Sans CJK JP" w:hAnsi="Noto Sans CJK JP"/>
      <w:b/>
      <w:i/>
      <w:color w:val="60A0B0"/>
      <w:sz w:val="22"/>
    </w:rPr>
  </w:style>
  <w:style w:type="character" w:customStyle="1" w:styleId="WarningTok">
    <w:name w:val="WarningTok"/>
    <w:basedOn w:val="VerbatimChar"/>
    <w:rPr>
      <w:rFonts w:ascii="Noto Sans CJK JP" w:eastAsia="Noto Sans CJK JP" w:hAnsi="Noto Sans CJK JP"/>
      <w:b/>
      <w:i/>
      <w:color w:val="60A0B0"/>
      <w:sz w:val="22"/>
    </w:rPr>
  </w:style>
  <w:style w:type="character" w:customStyle="1" w:styleId="AlertTok">
    <w:name w:val="AlertTok"/>
    <w:basedOn w:val="VerbatimChar"/>
    <w:rPr>
      <w:rFonts w:ascii="Noto Sans CJK JP" w:eastAsia="Noto Sans CJK JP" w:hAnsi="Noto Sans CJK JP"/>
      <w:b/>
      <w:color w:val="FF0000"/>
      <w:sz w:val="22"/>
    </w:rPr>
  </w:style>
  <w:style w:type="character" w:customStyle="1" w:styleId="ErrorTok">
    <w:name w:val="ErrorTok"/>
    <w:basedOn w:val="VerbatimChar"/>
    <w:rPr>
      <w:rFonts w:ascii="Noto Sans CJK JP" w:eastAsia="Noto Sans CJK JP" w:hAnsi="Noto Sans CJK JP"/>
      <w:b/>
      <w:color w:val="FF0000"/>
      <w:sz w:val="22"/>
    </w:rPr>
  </w:style>
  <w:style w:type="character" w:customStyle="1" w:styleId="NormalTok">
    <w:name w:val="NormalTok"/>
    <w:basedOn w:val="VerbatimChar"/>
    <w:rPr>
      <w:rFonts w:ascii="Noto Sans CJK JP" w:eastAsia="Noto Sans CJK JP" w:hAnsi="Noto Sans CJK JP"/>
      <w:sz w:val="22"/>
    </w:rPr>
  </w:style>
  <w:style w:type="paragraph" w:customStyle="1" w:styleId="AZRASHeading1">
    <w:name w:val="AZRAS Heading 1"/>
    <w:rPr>
      <w:rFonts w:ascii="Yu Gothic" w:eastAsia="Yu Gothic" w:hAnsi="Yu Gothic"/>
      <w:b/>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1392</Words>
  <Characters>7941</Characters>
  <Application>Microsoft Office Word</Application>
  <DocSecurity>0</DocSecurity>
  <Lines>66</Lines>
  <Paragraphs>18</Paragraphs>
  <ScaleCrop>false</ScaleCrop>
  <Company/>
  <LinksUpToDate>false</LinksUpToDate>
  <CharactersWithSpaces>9315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AZRAS 正式開発史 v2.6</dc:title>
  <dc:subject>AIとの共同開発による設計思想・システム構成・開発統治の変遷</dc:subject>
  <dc:creator/>
  <cp:keywords/>
  <cp:lastModifiedBy>/ALJ akatsu</cp:lastModifiedBy>
  <cp:revision>3</cp:revision>
  <dcterms:created xsi:type="dcterms:W3CDTF">2026-09-01T03:54:00Z</dcterms:created>
  <dcterms:modified xsi:type="dcterms:W3CDTF">2026-09-23T06:27:00Z</dcterms:modified>
</cp:coreProperties>
</file>