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13098"/>
          <w:sz w:val="40"/>
        </w:rPr>
        <w:t>HFSE SIS - Assumptions to Confirm</w:t>
      </w:r>
    </w:p>
    <w:p>
      <w:r>
        <w:rPr>
          <w:sz w:val="20"/>
        </w:rPr>
        <w:t>The system's academic core (grading, attendance quotas, the admissions pipeline) is already confirmed. This checklist covers the workflow assumptions we'd like you to check. For each row: if what the system does matches how you actually work, write "Correct" in the last column. If it's different, please describe what you really do. Each question notes who it's mainly for - feel free to add comments on any row.</w:t>
      </w:r>
    </w:p>
    <w:p>
      <w:r>
        <w:rPr>
          <w:i/>
          <w:color w:val="ED7622"/>
          <w:sz w:val="18"/>
        </w:rPr>
        <w:t>Rows marked ⏸ are decisions already waiting on your input. The highest-value ones to get right are M1, AD1 and P1 - they shape how staff spend their day.</w:t>
      </w:r>
    </w:p>
    <w:p>
      <w:pPr>
        <w:spacing w:before="200"/>
      </w:pPr>
      <w:r>
        <w:rPr>
          <w:b/>
          <w:color w:val="213098"/>
          <w:sz w:val="26"/>
        </w:rPr>
        <w:t>Markbook (grading)</w:t>
      </w:r>
    </w:p>
    <w:p>
      <w:r>
        <w:rPr>
          <w:i/>
          <w:color w:val="555B6E"/>
          <w:sz w:val="17"/>
        </w:rPr>
        <w:t>Already confirmed (no need to ask): the grade formula + weights, annual grade, General Average, the award ladder, and the non-examinable letter grades + per-term UG/E overrides.</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M1</w:t>
            </w:r>
          </w:p>
        </w:tc>
        <w:tc>
          <w:tcPr>
            <w:tcW w:type="dxa" w:w="1368"/>
          </w:tcPr>
          <w:p>
            <w:pPr>
              <w:spacing w:after="40" w:before="40"/>
            </w:pPr>
            <w:r/>
            <w:r>
              <w:rPr>
                <w:b w:val="0"/>
                <w:i w:val="0"/>
                <w:sz w:val="17"/>
              </w:rPr>
              <w:t>Joann</w:t>
            </w:r>
          </w:p>
        </w:tc>
        <w:tc>
          <w:tcPr>
            <w:tcW w:type="dxa" w:w="3960"/>
          </w:tcPr>
          <w:p>
            <w:pPr>
              <w:spacing w:after="40" w:before="40"/>
            </w:pPr>
            <w:r/>
            <w:r>
              <w:rPr>
                <w:b w:val="0"/>
                <w:i w:val="0"/>
                <w:sz w:val="17"/>
              </w:rPr>
              <w:t>After a grading sheet is locked, changing a grade needs a request where the teacher picks a primary AND secondary approver (office staff); both are notified and a reason is recorded.</w:t>
            </w:r>
          </w:p>
        </w:tc>
        <w:tc>
          <w:tcPr>
            <w:tcW w:type="dxa" w:w="4248"/>
          </w:tcPr>
          <w:p>
            <w:pPr>
              <w:spacing w:after="40" w:before="40"/>
            </w:pPr>
            <w:r/>
            <w:r>
              <w:rPr>
                <w:b w:val="0"/>
                <w:i w:val="0"/>
                <w:color w:val="213098"/>
                <w:sz w:val="17"/>
              </w:rPr>
              <w:t>When a teacher needs to fix a grade after the sheet is locked, what really happens? Do you pick two approvers, or does one person just approve it directly?</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M2 ⏸</w:t>
            </w:r>
          </w:p>
        </w:tc>
        <w:tc>
          <w:tcPr>
            <w:tcW w:type="dxa" w:w="1368"/>
            <w:shd w:val="clear" w:fill="EEF1FA"/>
          </w:tcPr>
          <w:p>
            <w:pPr>
              <w:spacing w:after="40" w:before="40"/>
            </w:pPr>
            <w:r/>
            <w:r>
              <w:rPr>
                <w:b w:val="0"/>
                <w:i w:val="0"/>
                <w:sz w:val="17"/>
              </w:rPr>
              <w:t>Chandana</w:t>
            </w:r>
          </w:p>
        </w:tc>
        <w:tc>
          <w:tcPr>
            <w:tcW w:type="dxa" w:w="3960"/>
            <w:shd w:val="clear" w:fill="EEF1FA"/>
          </w:tcPr>
          <w:p>
            <w:pPr>
              <w:spacing w:after="40" w:before="40"/>
            </w:pPr>
            <w:r/>
            <w:r>
              <w:rPr>
                <w:b w:val="0"/>
                <w:i w:val="0"/>
                <w:sz w:val="17"/>
              </w:rPr>
              <w:t>For letter-graded subjects (Music, Arts, PE, HE...), the term-to-term trend Alert shows the number-equivalent swing, same as numeric subjects.</w:t>
            </w:r>
          </w:p>
        </w:tc>
        <w:tc>
          <w:tcPr>
            <w:tcW w:type="dxa" w:w="4248"/>
            <w:shd w:val="clear" w:fill="EEF1FA"/>
          </w:tcPr>
          <w:p>
            <w:pPr>
              <w:spacing w:after="40" w:before="40"/>
            </w:pPr>
            <w:r/>
            <w:r>
              <w:rPr>
                <w:b w:val="0"/>
                <w:i w:val="0"/>
                <w:color w:val="213098"/>
                <w:sz w:val="17"/>
              </w:rPr>
              <w:t>For the letter subjects, do you want the term-over-term trend flagged differently, or is showing the number-equivalent fine?</w:t>
            </w:r>
          </w:p>
        </w:tc>
        <w:tc>
          <w:tcPr>
            <w:tcW w:type="dxa" w:w="3672"/>
          </w:tcPr>
          <w:p>
            <w:pPr>
              <w:spacing w:after="40" w:before="40"/>
            </w:pPr>
            <w:r/>
            <w:r>
              <w:rPr>
                <w:b w:val="0"/>
                <w:i w:val="0"/>
                <w:sz w:val="18"/>
              </w:rPr>
            </w:r>
          </w:p>
        </w:tc>
      </w:tr>
      <w:tr>
        <w:tc>
          <w:tcPr>
            <w:tcW w:type="dxa" w:w="504"/>
          </w:tcPr>
          <w:p>
            <w:pPr>
              <w:spacing w:after="40" w:before="40"/>
            </w:pPr>
            <w:r/>
            <w:r>
              <w:rPr>
                <w:b/>
                <w:i w:val="0"/>
                <w:sz w:val="17"/>
              </w:rPr>
              <w:t>M3</w:t>
            </w:r>
          </w:p>
        </w:tc>
        <w:tc>
          <w:tcPr>
            <w:tcW w:type="dxa" w:w="1368"/>
          </w:tcPr>
          <w:p>
            <w:pPr>
              <w:spacing w:after="40" w:before="40"/>
            </w:pPr>
            <w:r/>
            <w:r>
              <w:rPr>
                <w:b w:val="0"/>
                <w:i w:val="0"/>
                <w:sz w:val="17"/>
              </w:rPr>
              <w:t>Joann</w:t>
            </w:r>
          </w:p>
        </w:tc>
        <w:tc>
          <w:tcPr>
            <w:tcW w:type="dxa" w:w="3960"/>
          </w:tcPr>
          <w:p>
            <w:pPr>
              <w:spacing w:after="40" w:before="40"/>
            </w:pPr>
            <w:r/>
            <w:r>
              <w:rPr>
                <w:b w:val="0"/>
                <w:i w:val="0"/>
                <w:sz w:val="17"/>
              </w:rPr>
              <w:t>The publishing checklist is a soft gate: warnings show, but you can always 'Publish anyway'. Nothing blocks publishing.</w:t>
            </w:r>
          </w:p>
        </w:tc>
        <w:tc>
          <w:tcPr>
            <w:tcW w:type="dxa" w:w="4248"/>
          </w:tcPr>
          <w:p>
            <w:pPr>
              <w:spacing w:after="40" w:before="40"/>
            </w:pPr>
            <w:r/>
            <w:r>
              <w:rPr>
                <w:b w:val="0"/>
                <w:i w:val="0"/>
                <w:color w:val="213098"/>
                <w:sz w:val="17"/>
              </w:rPr>
              <w:t>Before report cards go out, should any of the warnings BLOCK publishing, or is it always your call to publish anyway?</w:t>
            </w:r>
          </w:p>
        </w:tc>
        <w:tc>
          <w:tcPr>
            <w:tcW w:type="dxa" w:w="3672"/>
          </w:tcPr>
          <w:p>
            <w:pPr>
              <w:spacing w:after="40" w:before="40"/>
            </w:pPr>
            <w:r/>
            <w:r>
              <w:rPr>
                <w:b w:val="0"/>
                <w:i w:val="0"/>
                <w:sz w:val="18"/>
              </w:rPr>
            </w:r>
          </w:p>
        </w:tc>
      </w:tr>
    </w:tbl>
    <w:p>
      <w:pPr>
        <w:spacing w:before="200"/>
      </w:pPr>
      <w:r>
        <w:rPr>
          <w:b/>
          <w:color w:val="213098"/>
          <w:sz w:val="26"/>
        </w:rPr>
        <w:t>Attendance</w:t>
      </w:r>
    </w:p>
    <w:p>
      <w:r>
        <w:rPr>
          <w:i/>
          <w:color w:val="555B6E"/>
          <w:sz w:val="17"/>
        </w:rPr>
        <w:t>Already confirmed: the day-types, vacation leave (1 per term) and compassionate leave (5 per year) - verified against your actual Term 1 workbook; the HBL / marking-day overlay matches the published AY2026 calendar.</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A1</w:t>
            </w:r>
          </w:p>
        </w:tc>
        <w:tc>
          <w:tcPr>
            <w:tcW w:type="dxa" w:w="1368"/>
          </w:tcPr>
          <w:p>
            <w:pPr>
              <w:spacing w:after="40" w:before="40"/>
            </w:pPr>
            <w:r/>
            <w:r>
              <w:rPr>
                <w:b w:val="0"/>
                <w:i w:val="0"/>
                <w:sz w:val="17"/>
              </w:rPr>
              <w:t>Joann</w:t>
            </w:r>
          </w:p>
        </w:tc>
        <w:tc>
          <w:tcPr>
            <w:tcW w:type="dxa" w:w="3960"/>
          </w:tcPr>
          <w:p>
            <w:pPr>
              <w:spacing w:after="40" w:before="40"/>
            </w:pPr>
            <w:r/>
            <w:r>
              <w:rPr>
                <w:b w:val="0"/>
                <w:i w:val="0"/>
                <w:sz w:val="17"/>
              </w:rPr>
              <w:t>A student who joins mid-year is only judged from their join date - earlier terms show 0/0 and are never counted against them.</w:t>
            </w:r>
          </w:p>
        </w:tc>
        <w:tc>
          <w:tcPr>
            <w:tcW w:type="dxa" w:w="4248"/>
          </w:tcPr>
          <w:p>
            <w:pPr>
              <w:spacing w:after="40" w:before="40"/>
            </w:pPr>
            <w:r/>
            <w:r>
              <w:rPr>
                <w:b w:val="0"/>
                <w:i w:val="0"/>
                <w:color w:val="213098"/>
                <w:sz w:val="17"/>
              </w:rPr>
              <w:t>If a student joins in Term 2, should Term 1 attendance just be blank for them - never counted as absences?</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A2</w:t>
            </w:r>
          </w:p>
        </w:tc>
        <w:tc>
          <w:tcPr>
            <w:tcW w:type="dxa" w:w="1368"/>
            <w:shd w:val="clear" w:fill="EEF1FA"/>
          </w:tcPr>
          <w:p>
            <w:pPr>
              <w:spacing w:after="40" w:before="40"/>
            </w:pPr>
            <w:r/>
            <w:r>
              <w:rPr>
                <w:b w:val="0"/>
                <w:i w:val="0"/>
                <w:sz w:val="17"/>
              </w:rPr>
              <w:t>Joann</w:t>
            </w:r>
          </w:p>
        </w:tc>
        <w:tc>
          <w:tcPr>
            <w:tcW w:type="dxa" w:w="3960"/>
            <w:shd w:val="clear" w:fill="EEF1FA"/>
          </w:tcPr>
          <w:p>
            <w:pPr>
              <w:spacing w:after="40" w:before="40"/>
            </w:pPr>
            <w:r/>
            <w:r>
              <w:rPr>
                <w:b w:val="0"/>
                <w:i w:val="0"/>
                <w:sz w:val="17"/>
              </w:rPr>
              <w:t>Going over the leave quota shows a warning but still records the leave (you can grant an exception).</w:t>
            </w:r>
          </w:p>
        </w:tc>
        <w:tc>
          <w:tcPr>
            <w:tcW w:type="dxa" w:w="4248"/>
            <w:shd w:val="clear" w:fill="EEF1FA"/>
          </w:tcPr>
          <w:p>
            <w:pPr>
              <w:spacing w:after="40" w:before="40"/>
            </w:pPr>
            <w:r/>
            <w:r>
              <w:rPr>
                <w:b w:val="0"/>
                <w:i w:val="0"/>
                <w:color w:val="213098"/>
                <w:sz w:val="17"/>
              </w:rPr>
              <w:t>If a student goes over their leave quota, should the system let you record it anyway with a warning, or block it?</w:t>
            </w:r>
          </w:p>
        </w:tc>
        <w:tc>
          <w:tcPr>
            <w:tcW w:type="dxa" w:w="3672"/>
          </w:tcPr>
          <w:p>
            <w:pPr>
              <w:spacing w:after="40" w:before="40"/>
            </w:pPr>
            <w:r/>
            <w:r>
              <w:rPr>
                <w:b w:val="0"/>
                <w:i w:val="0"/>
                <w:sz w:val="18"/>
              </w:rPr>
            </w:r>
          </w:p>
        </w:tc>
      </w:tr>
      <w:tr>
        <w:tc>
          <w:tcPr>
            <w:tcW w:type="dxa" w:w="504"/>
          </w:tcPr>
          <w:p>
            <w:pPr>
              <w:spacing w:after="40" w:before="40"/>
            </w:pPr>
            <w:r/>
            <w:r>
              <w:rPr>
                <w:b/>
                <w:i w:val="0"/>
                <w:sz w:val="17"/>
              </w:rPr>
              <w:t>A3 ⏸</w:t>
            </w:r>
          </w:p>
        </w:tc>
        <w:tc>
          <w:tcPr>
            <w:tcW w:type="dxa" w:w="1368"/>
          </w:tcPr>
          <w:p>
            <w:pPr>
              <w:spacing w:after="40" w:before="40"/>
            </w:pPr>
            <w:r/>
            <w:r>
              <w:rPr>
                <w:b w:val="0"/>
                <w:i w:val="0"/>
                <w:sz w:val="17"/>
              </w:rPr>
              <w:t>Teachers</w:t>
            </w:r>
          </w:p>
        </w:tc>
        <w:tc>
          <w:tcPr>
            <w:tcW w:type="dxa" w:w="3960"/>
          </w:tcPr>
          <w:p>
            <w:pPr>
              <w:spacing w:after="40" w:before="40"/>
            </w:pPr>
            <w:r/>
            <w:r>
              <w:rPr>
                <w:b w:val="0"/>
                <w:i w:val="0"/>
                <w:sz w:val="17"/>
              </w:rPr>
              <w:t>Attendance marks use the system's colours, not the old paper sheet's colours (Present=blue, Absent=yellow, EX=cyan, Late=pink).</w:t>
            </w:r>
          </w:p>
        </w:tc>
        <w:tc>
          <w:tcPr>
            <w:tcW w:type="dxa" w:w="4248"/>
          </w:tcPr>
          <w:p>
            <w:pPr>
              <w:spacing w:after="40" w:before="40"/>
            </w:pPr>
            <w:r/>
            <w:r>
              <w:rPr>
                <w:b w:val="0"/>
                <w:i w:val="0"/>
                <w:color w:val="213098"/>
                <w:sz w:val="17"/>
              </w:rPr>
              <w:t>Do you want the marks colour-matched to the old paper sheet?</w:t>
            </w:r>
          </w:p>
        </w:tc>
        <w:tc>
          <w:tcPr>
            <w:tcW w:type="dxa" w:w="3672"/>
          </w:tcPr>
          <w:p>
            <w:pPr>
              <w:spacing w:after="40" w:before="40"/>
            </w:pPr>
            <w:r/>
            <w:r>
              <w:rPr>
                <w:b w:val="0"/>
                <w:i w:val="0"/>
                <w:sz w:val="18"/>
              </w:rPr>
            </w:r>
          </w:p>
        </w:tc>
      </w:tr>
    </w:tbl>
    <w:p>
      <w:pPr>
        <w:spacing w:before="200"/>
      </w:pPr>
      <w:r>
        <w:rPr>
          <w:b/>
          <w:color w:val="213098"/>
          <w:sz w:val="26"/>
        </w:rPr>
        <w:t>Evaluation (form-class-adviser write-ups)</w:t>
      </w:r>
    </w:p>
    <w:p>
      <w:r>
        <w:rPr>
          <w:i/>
          <w:color w:val="555B6E"/>
          <w:sz w:val="17"/>
        </w:rPr>
        <w:t>Already confirmed (the hard way): this module is FCA write-ups only - parent-teacher conferences run on Ms JoAnn's offline form, not the system. Manual Save-as-draft / Submit.</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E1 ⏸</w:t>
            </w:r>
          </w:p>
        </w:tc>
        <w:tc>
          <w:tcPr>
            <w:tcW w:type="dxa" w:w="1368"/>
          </w:tcPr>
          <w:p>
            <w:pPr>
              <w:spacing w:after="40" w:before="40"/>
            </w:pPr>
            <w:r/>
            <w:r>
              <w:rPr>
                <w:b w:val="0"/>
                <w:i w:val="0"/>
                <w:sz w:val="17"/>
              </w:rPr>
              <w:t>Joann / Chandana</w:t>
            </w:r>
          </w:p>
        </w:tc>
        <w:tc>
          <w:tcPr>
            <w:tcW w:type="dxa" w:w="3960"/>
          </w:tcPr>
          <w:p>
            <w:pPr>
              <w:spacing w:after="40" w:before="40"/>
            </w:pPr>
            <w:r/>
            <w:r>
              <w:rPr>
                <w:b w:val="0"/>
                <w:i w:val="0"/>
                <w:sz w:val="17"/>
              </w:rPr>
              <w:t>A write-up's text already shows on the report card even as a draft - 'Submit' only drives the progress counts, not whether parents can see it.</w:t>
            </w:r>
          </w:p>
        </w:tc>
        <w:tc>
          <w:tcPr>
            <w:tcW w:type="dxa" w:w="4248"/>
          </w:tcPr>
          <w:p>
            <w:pPr>
              <w:spacing w:after="40" w:before="40"/>
            </w:pPr>
            <w:r/>
            <w:r>
              <w:rPr>
                <w:b w:val="0"/>
                <w:i w:val="0"/>
                <w:color w:val="213098"/>
                <w:sz w:val="17"/>
              </w:rPr>
              <w:t>Should a comment be hidden from parents until the adviser hits Submit, or is it fine that the draft text already appears?</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E2</w:t>
            </w:r>
          </w:p>
        </w:tc>
        <w:tc>
          <w:tcPr>
            <w:tcW w:type="dxa" w:w="1368"/>
            <w:shd w:val="clear" w:fill="EEF1FA"/>
          </w:tcPr>
          <w:p>
            <w:pPr>
              <w:spacing w:after="40" w:before="40"/>
            </w:pPr>
            <w:r/>
            <w:r>
              <w:rPr>
                <w:b w:val="0"/>
                <w:i w:val="0"/>
                <w:sz w:val="17"/>
              </w:rPr>
              <w:t>Chandana</w:t>
            </w:r>
          </w:p>
        </w:tc>
        <w:tc>
          <w:tcPr>
            <w:tcW w:type="dxa" w:w="3960"/>
            <w:shd w:val="clear" w:fill="EEF1FA"/>
          </w:tcPr>
          <w:p>
            <w:pPr>
              <w:spacing w:after="40" w:before="40"/>
            </w:pPr>
            <w:r/>
            <w:r>
              <w:rPr>
                <w:b w:val="0"/>
                <w:i w:val="0"/>
                <w:sz w:val="17"/>
              </w:rPr>
              <w:t>The comment heading reads 'Form Class Adviser's Comments (HFSE Virtues: ...)', pulled from the term's virtue theme.</w:t>
            </w:r>
          </w:p>
        </w:tc>
        <w:tc>
          <w:tcPr>
            <w:tcW w:type="dxa" w:w="4248"/>
            <w:shd w:val="clear" w:fill="EEF1FA"/>
          </w:tcPr>
          <w:p>
            <w:pPr>
              <w:spacing w:after="40" w:before="40"/>
            </w:pPr>
            <w:r/>
            <w:r>
              <w:rPr>
                <w:b w:val="0"/>
                <w:i w:val="0"/>
                <w:color w:val="213098"/>
                <w:sz w:val="17"/>
              </w:rPr>
              <w:t>Is that heading wording right, and is the per-term virtue theme the correct source?</w:t>
            </w:r>
          </w:p>
        </w:tc>
        <w:tc>
          <w:tcPr>
            <w:tcW w:type="dxa" w:w="3672"/>
          </w:tcPr>
          <w:p>
            <w:pPr>
              <w:spacing w:after="40" w:before="40"/>
            </w:pPr>
            <w:r/>
            <w:r>
              <w:rPr>
                <w:b w:val="0"/>
                <w:i w:val="0"/>
                <w:sz w:val="18"/>
              </w:rPr>
            </w:r>
          </w:p>
        </w:tc>
      </w:tr>
      <w:tr>
        <w:tc>
          <w:tcPr>
            <w:tcW w:type="dxa" w:w="504"/>
          </w:tcPr>
          <w:p>
            <w:pPr>
              <w:spacing w:after="40" w:before="40"/>
            </w:pPr>
            <w:r/>
            <w:r>
              <w:rPr>
                <w:b/>
                <w:i w:val="0"/>
                <w:sz w:val="17"/>
              </w:rPr>
              <w:t>E3</w:t>
            </w:r>
          </w:p>
        </w:tc>
        <w:tc>
          <w:tcPr>
            <w:tcW w:type="dxa" w:w="1368"/>
          </w:tcPr>
          <w:p>
            <w:pPr>
              <w:spacing w:after="40" w:before="40"/>
            </w:pPr>
            <w:r/>
            <w:r>
              <w:rPr>
                <w:b w:val="0"/>
                <w:i w:val="0"/>
                <w:sz w:val="17"/>
              </w:rPr>
              <w:t>Chandana</w:t>
            </w:r>
          </w:p>
        </w:tc>
        <w:tc>
          <w:tcPr>
            <w:tcW w:type="dxa" w:w="3960"/>
          </w:tcPr>
          <w:p>
            <w:pPr>
              <w:spacing w:after="40" w:before="40"/>
            </w:pPr>
            <w:r/>
            <w:r>
              <w:rPr>
                <w:b w:val="0"/>
                <w:i w:val="0"/>
                <w:sz w:val="17"/>
              </w:rPr>
              <w:t>The year-end (Term 4) report has no adviser comment block - comments are Term 1-3 only.</w:t>
            </w:r>
          </w:p>
        </w:tc>
        <w:tc>
          <w:tcPr>
            <w:tcW w:type="dxa" w:w="4248"/>
          </w:tcPr>
          <w:p>
            <w:pPr>
              <w:spacing w:after="40" w:before="40"/>
            </w:pPr>
            <w:r/>
            <w:r>
              <w:rPr>
                <w:b w:val="0"/>
                <w:i w:val="0"/>
                <w:color w:val="213098"/>
                <w:sz w:val="17"/>
              </w:rPr>
              <w:t>Is it correct that the final report has no adviser comment?</w:t>
            </w:r>
          </w:p>
        </w:tc>
        <w:tc>
          <w:tcPr>
            <w:tcW w:type="dxa" w:w="3672"/>
          </w:tcPr>
          <w:p>
            <w:pPr>
              <w:spacing w:after="40" w:before="40"/>
            </w:pPr>
            <w:r/>
            <w:r>
              <w:rPr>
                <w:b w:val="0"/>
                <w:i w:val="0"/>
                <w:sz w:val="18"/>
              </w:rPr>
            </w:r>
          </w:p>
        </w:tc>
      </w:tr>
    </w:tbl>
    <w:p>
      <w:pPr>
        <w:spacing w:before="200"/>
      </w:pPr>
      <w:r>
        <w:rPr>
          <w:b/>
          <w:color w:val="213098"/>
          <w:sz w:val="26"/>
        </w:rPr>
        <w:t>Admissions</w:t>
      </w:r>
    </w:p>
    <w:p>
      <w:r>
        <w:rPr>
          <w:i/>
          <w:color w:val="555B6E"/>
          <w:sz w:val="17"/>
        </w:rPr>
        <w:t>Already confirmed: the 13-step intake -&gt; 9-stage pipeline; the application-status fields; STP / Edutrust tracking; and that parents upload ICA documents directly, so the system doesn't track those files.</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AD1</w:t>
            </w:r>
          </w:p>
        </w:tc>
        <w:tc>
          <w:tcPr>
            <w:tcW w:type="dxa" w:w="1368"/>
          </w:tcPr>
          <w:p>
            <w:pPr>
              <w:spacing w:after="40" w:before="40"/>
            </w:pPr>
            <w:r/>
            <w:r>
              <w:rPr>
                <w:b w:val="0"/>
                <w:i w:val="0"/>
                <w:sz w:val="17"/>
              </w:rPr>
              <w:t>Admissions team</w:t>
            </w:r>
          </w:p>
        </w:tc>
        <w:tc>
          <w:tcPr>
            <w:tcW w:type="dxa" w:w="3960"/>
          </w:tcPr>
          <w:p>
            <w:pPr>
              <w:spacing w:after="40" w:before="40"/>
            </w:pPr>
            <w:r/>
            <w:r>
              <w:rPr>
                <w:b w:val="0"/>
                <w:i w:val="0"/>
                <w:sz w:val="17"/>
              </w:rPr>
              <w:t>After parents upload documents, an officer works through a validation queue approving or rejecting each one.</w:t>
            </w:r>
          </w:p>
        </w:tc>
        <w:tc>
          <w:tcPr>
            <w:tcW w:type="dxa" w:w="4248"/>
          </w:tcPr>
          <w:p>
            <w:pPr>
              <w:spacing w:after="40" w:before="40"/>
            </w:pPr>
            <w:r/>
            <w:r>
              <w:rPr>
                <w:b w:val="0"/>
                <w:i w:val="0"/>
                <w:color w:val="213098"/>
                <w:sz w:val="17"/>
              </w:rPr>
              <w:t>After a parent uploads documents, who checks them and how? Does one person work a queue approving/rejecting each?</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AD2</w:t>
            </w:r>
          </w:p>
        </w:tc>
        <w:tc>
          <w:tcPr>
            <w:tcW w:type="dxa" w:w="1368"/>
            <w:shd w:val="clear" w:fill="EEF1FA"/>
          </w:tcPr>
          <w:p>
            <w:pPr>
              <w:spacing w:after="40" w:before="40"/>
            </w:pPr>
            <w:r/>
            <w:r>
              <w:rPr>
                <w:b w:val="0"/>
                <w:i w:val="0"/>
                <w:sz w:val="17"/>
              </w:rPr>
              <w:t>Admissions team</w:t>
            </w:r>
          </w:p>
        </w:tc>
        <w:tc>
          <w:tcPr>
            <w:tcW w:type="dxa" w:w="3960"/>
            <w:shd w:val="clear" w:fill="EEF1FA"/>
          </w:tcPr>
          <w:p>
            <w:pPr>
              <w:spacing w:after="40" w:before="40"/>
            </w:pPr>
            <w:r/>
            <w:r>
              <w:rPr>
                <w:b w:val="0"/>
                <w:i w:val="0"/>
                <w:sz w:val="17"/>
              </w:rPr>
              <w:t>Chasing splits into 'parent owes us' (To follow / Rejected / Expired) versus 'we owe a review' (Uploaded).</w:t>
            </w:r>
          </w:p>
        </w:tc>
        <w:tc>
          <w:tcPr>
            <w:tcW w:type="dxa" w:w="4248"/>
            <w:shd w:val="clear" w:fill="EEF1FA"/>
          </w:tcPr>
          <w:p>
            <w:pPr>
              <w:spacing w:after="40" w:before="40"/>
            </w:pPr>
            <w:r/>
            <w:r>
              <w:rPr>
                <w:b w:val="0"/>
                <w:i w:val="0"/>
                <w:color w:val="213098"/>
                <w:sz w:val="17"/>
              </w:rPr>
              <w:t>When you chase families for documents, is that the right split - and are those the statuses you actually use?</w:t>
            </w:r>
          </w:p>
        </w:tc>
        <w:tc>
          <w:tcPr>
            <w:tcW w:type="dxa" w:w="3672"/>
          </w:tcPr>
          <w:p>
            <w:pPr>
              <w:spacing w:after="40" w:before="40"/>
            </w:pPr>
            <w:r/>
            <w:r>
              <w:rPr>
                <w:b w:val="0"/>
                <w:i w:val="0"/>
                <w:sz w:val="18"/>
              </w:rPr>
            </w:r>
          </w:p>
        </w:tc>
      </w:tr>
      <w:tr>
        <w:tc>
          <w:tcPr>
            <w:tcW w:type="dxa" w:w="504"/>
          </w:tcPr>
          <w:p>
            <w:pPr>
              <w:spacing w:after="40" w:before="40"/>
            </w:pPr>
            <w:r/>
            <w:r>
              <w:rPr>
                <w:b/>
                <w:i w:val="0"/>
                <w:sz w:val="17"/>
              </w:rPr>
              <w:t>AD3</w:t>
            </w:r>
          </w:p>
        </w:tc>
        <w:tc>
          <w:tcPr>
            <w:tcW w:type="dxa" w:w="1368"/>
          </w:tcPr>
          <w:p>
            <w:pPr>
              <w:spacing w:after="40" w:before="40"/>
            </w:pPr>
            <w:r/>
            <w:r>
              <w:rPr>
                <w:b w:val="0"/>
                <w:i w:val="0"/>
                <w:sz w:val="17"/>
              </w:rPr>
              <w:t>Admissions / leadership</w:t>
            </w:r>
          </w:p>
        </w:tc>
        <w:tc>
          <w:tcPr>
            <w:tcW w:type="dxa" w:w="3960"/>
          </w:tcPr>
          <w:p>
            <w:pPr>
              <w:spacing w:after="40" w:before="40"/>
            </w:pPr>
            <w:r/>
            <w:r>
              <w:rPr>
                <w:b w:val="0"/>
                <w:i w:val="0"/>
                <w:sz w:val="17"/>
              </w:rPr>
              <w:t>There's a page that collects applicant feedback on the online application experience (1-5 rating + comments).</w:t>
            </w:r>
          </w:p>
        </w:tc>
        <w:tc>
          <w:tcPr>
            <w:tcW w:type="dxa" w:w="4248"/>
          </w:tcPr>
          <w:p>
            <w:pPr>
              <w:spacing w:after="40" w:before="40"/>
            </w:pPr>
            <w:r/>
            <w:r>
              <w:rPr>
                <w:b w:val="0"/>
                <w:i w:val="0"/>
                <w:color w:val="213098"/>
                <w:sz w:val="17"/>
              </w:rPr>
              <w:t>Do you actually ask families to rate the application form? Is this page useful, or unused?</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AD4</w:t>
            </w:r>
          </w:p>
        </w:tc>
        <w:tc>
          <w:tcPr>
            <w:tcW w:type="dxa" w:w="1368"/>
            <w:shd w:val="clear" w:fill="EEF1FA"/>
          </w:tcPr>
          <w:p>
            <w:pPr>
              <w:spacing w:after="40" w:before="40"/>
            </w:pPr>
            <w:r/>
            <w:r>
              <w:rPr>
                <w:b w:val="0"/>
                <w:i w:val="0"/>
                <w:sz w:val="17"/>
              </w:rPr>
              <w:t>Joann / Admissions</w:t>
            </w:r>
          </w:p>
        </w:tc>
        <w:tc>
          <w:tcPr>
            <w:tcW w:type="dxa" w:w="3960"/>
            <w:shd w:val="clear" w:fill="EEF1FA"/>
          </w:tcPr>
          <w:p>
            <w:pPr>
              <w:spacing w:after="40" w:before="40"/>
            </w:pPr>
            <w:r/>
            <w:r>
              <w:rPr>
                <w:b w:val="0"/>
                <w:i w:val="0"/>
                <w:sz w:val="17"/>
              </w:rPr>
              <w:t>You can open next year's applications while the current year is still running (the 'early-bird' window), controlled in SIS Admin.</w:t>
            </w:r>
          </w:p>
        </w:tc>
        <w:tc>
          <w:tcPr>
            <w:tcW w:type="dxa" w:w="4248"/>
            <w:shd w:val="clear" w:fill="EEF1FA"/>
          </w:tcPr>
          <w:p>
            <w:pPr>
              <w:spacing w:after="40" w:before="40"/>
            </w:pPr>
            <w:r/>
            <w:r>
              <w:rPr>
                <w:b w:val="0"/>
                <w:i w:val="0"/>
                <w:color w:val="213098"/>
                <w:sz w:val="17"/>
              </w:rPr>
              <w:t>Do you collect next-year applications early while this year runs? Is opening/closing that window from SIS Admin the right place?</w:t>
            </w:r>
          </w:p>
        </w:tc>
        <w:tc>
          <w:tcPr>
            <w:tcW w:type="dxa" w:w="3672"/>
          </w:tcPr>
          <w:p>
            <w:pPr>
              <w:spacing w:after="40" w:before="40"/>
            </w:pPr>
            <w:r/>
            <w:r>
              <w:rPr>
                <w:b w:val="0"/>
                <w:i w:val="0"/>
                <w:sz w:val="18"/>
              </w:rPr>
            </w:r>
          </w:p>
        </w:tc>
      </w:tr>
    </w:tbl>
    <w:p>
      <w:pPr>
        <w:spacing w:before="200"/>
      </w:pPr>
      <w:r>
        <w:rPr>
          <w:b/>
          <w:color w:val="213098"/>
          <w:sz w:val="26"/>
        </w:rPr>
        <w:t>Records &amp; SIS Admin (enrolment, identity, settings)</w:t>
      </w:r>
    </w:p>
    <w:p>
      <w:r>
        <w:rPr>
          <w:i/>
          <w:color w:val="555B6E"/>
          <w:sz w:val="17"/>
        </w:rPr>
        <w:t>Already confirmed: the permanent student number as the lasting ID; atomic mid-year section transfer; 'once the school year has started, anyone joining is a late enrollee'; and the staff-to-role mapping.</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R1</w:t>
            </w:r>
          </w:p>
        </w:tc>
        <w:tc>
          <w:tcPr>
            <w:tcW w:type="dxa" w:w="1368"/>
          </w:tcPr>
          <w:p>
            <w:pPr>
              <w:spacing w:after="40" w:before="40"/>
            </w:pPr>
            <w:r/>
            <w:r>
              <w:rPr>
                <w:b w:val="0"/>
                <w:i w:val="0"/>
                <w:sz w:val="17"/>
              </w:rPr>
              <w:t>Joann</w:t>
            </w:r>
          </w:p>
        </w:tc>
        <w:tc>
          <w:tcPr>
            <w:tcW w:type="dxa" w:w="3960"/>
          </w:tcPr>
          <w:p>
            <w:pPr>
              <w:spacing w:after="40" w:before="40"/>
            </w:pPr>
            <w:r/>
            <w:r>
              <w:rPr>
                <w:b w:val="0"/>
                <w:i w:val="0"/>
                <w:sz w:val="17"/>
              </w:rPr>
              <w:t>Sometimes an enrolled student has no class section yet and won't show in Records until assigned; there's a queue to assign them a section.</w:t>
            </w:r>
          </w:p>
        </w:tc>
        <w:tc>
          <w:tcPr>
            <w:tcW w:type="dxa" w:w="4248"/>
          </w:tcPr>
          <w:p>
            <w:pPr>
              <w:spacing w:after="40" w:before="40"/>
            </w:pPr>
            <w:r/>
            <w:r>
              <w:rPr>
                <w:b w:val="0"/>
                <w:i w:val="0"/>
                <w:color w:val="213098"/>
                <w:sz w:val="17"/>
              </w:rPr>
              <w:t>Does it happen that a student is enrolled but has no class section (a gap from the old system)? Is assigning them from a queue the right fix?</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R2</w:t>
            </w:r>
          </w:p>
        </w:tc>
        <w:tc>
          <w:tcPr>
            <w:tcW w:type="dxa" w:w="1368"/>
            <w:shd w:val="clear" w:fill="EEF1FA"/>
          </w:tcPr>
          <w:p>
            <w:pPr>
              <w:spacing w:after="40" w:before="40"/>
            </w:pPr>
            <w:r/>
            <w:r>
              <w:rPr>
                <w:b w:val="0"/>
                <w:i w:val="0"/>
                <w:sz w:val="17"/>
              </w:rPr>
              <w:t>Joann</w:t>
            </w:r>
          </w:p>
        </w:tc>
        <w:tc>
          <w:tcPr>
            <w:tcW w:type="dxa" w:w="3960"/>
            <w:shd w:val="clear" w:fill="EEF1FA"/>
          </w:tcPr>
          <w:p>
            <w:pPr>
              <w:spacing w:after="40" w:before="40"/>
            </w:pPr>
            <w:r/>
            <w:r>
              <w:rPr>
                <w:b w:val="0"/>
                <w:i w:val="0"/>
                <w:sz w:val="17"/>
              </w:rPr>
              <w:t>The withdrawal reason dropdown (used when a student leaves) has a fixed list of reasons.</w:t>
            </w:r>
          </w:p>
        </w:tc>
        <w:tc>
          <w:tcPr>
            <w:tcW w:type="dxa" w:w="4248"/>
            <w:shd w:val="clear" w:fill="EEF1FA"/>
          </w:tcPr>
          <w:p>
            <w:pPr>
              <w:spacing w:after="40" w:before="40"/>
            </w:pPr>
            <w:r/>
            <w:r>
              <w:rPr>
                <w:b w:val="0"/>
                <w:i w:val="0"/>
                <w:color w:val="213098"/>
                <w:sz w:val="17"/>
              </w:rPr>
              <w:t>Are these the right reasons for why a student leaves - is anything missing?</w:t>
            </w:r>
          </w:p>
        </w:tc>
        <w:tc>
          <w:tcPr>
            <w:tcW w:type="dxa" w:w="3672"/>
          </w:tcPr>
          <w:p>
            <w:pPr>
              <w:spacing w:after="40" w:before="40"/>
            </w:pPr>
            <w:r/>
            <w:r>
              <w:rPr>
                <w:b w:val="0"/>
                <w:i w:val="0"/>
                <w:sz w:val="18"/>
              </w:rPr>
            </w:r>
          </w:p>
        </w:tc>
      </w:tr>
      <w:tr>
        <w:tc>
          <w:tcPr>
            <w:tcW w:type="dxa" w:w="504"/>
          </w:tcPr>
          <w:p>
            <w:pPr>
              <w:spacing w:after="40" w:before="40"/>
            </w:pPr>
            <w:r/>
            <w:r>
              <w:rPr>
                <w:b/>
                <w:i w:val="0"/>
                <w:sz w:val="17"/>
              </w:rPr>
              <w:t>R3</w:t>
            </w:r>
          </w:p>
        </w:tc>
        <w:tc>
          <w:tcPr>
            <w:tcW w:type="dxa" w:w="1368"/>
          </w:tcPr>
          <w:p>
            <w:pPr>
              <w:spacing w:after="40" w:before="40"/>
            </w:pPr>
            <w:r/>
            <w:r>
              <w:rPr>
                <w:b w:val="0"/>
                <w:i w:val="0"/>
                <w:sz w:val="17"/>
              </w:rPr>
              <w:t>Joann</w:t>
            </w:r>
          </w:p>
        </w:tc>
        <w:tc>
          <w:tcPr>
            <w:tcW w:type="dxa" w:w="3960"/>
          </w:tcPr>
          <w:p>
            <w:pPr>
              <w:spacing w:after="40" w:before="40"/>
            </w:pPr>
            <w:r/>
            <w:r>
              <w:rPr>
                <w:b w:val="0"/>
                <w:i w:val="0"/>
                <w:sz w:val="17"/>
              </w:rPr>
              <w:t>A class roll can be re-numbered alphabetically on demand (a button).</w:t>
            </w:r>
          </w:p>
        </w:tc>
        <w:tc>
          <w:tcPr>
            <w:tcW w:type="dxa" w:w="4248"/>
          </w:tcPr>
          <w:p>
            <w:pPr>
              <w:spacing w:after="40" w:before="40"/>
            </w:pPr>
            <w:r/>
            <w:r>
              <w:rPr>
                <w:b w:val="0"/>
                <w:i w:val="0"/>
                <w:color w:val="213098"/>
                <w:sz w:val="17"/>
              </w:rPr>
              <w:t>Do you ever re-number a class roll alphabetically? Is that something you'd use?</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R4</w:t>
            </w:r>
          </w:p>
        </w:tc>
        <w:tc>
          <w:tcPr>
            <w:tcW w:type="dxa" w:w="1368"/>
            <w:shd w:val="clear" w:fill="EEF1FA"/>
          </w:tcPr>
          <w:p>
            <w:pPr>
              <w:spacing w:after="40" w:before="40"/>
            </w:pPr>
            <w:r/>
            <w:r>
              <w:rPr>
                <w:b w:val="0"/>
                <w:i w:val="0"/>
                <w:sz w:val="17"/>
              </w:rPr>
              <w:t>Joann</w:t>
            </w:r>
          </w:p>
        </w:tc>
        <w:tc>
          <w:tcPr>
            <w:tcW w:type="dxa" w:w="3960"/>
            <w:shd w:val="clear" w:fill="EEF1FA"/>
          </w:tcPr>
          <w:p>
            <w:pPr>
              <w:spacing w:after="40" w:before="40"/>
            </w:pPr>
            <w:r/>
            <w:r>
              <w:rPr>
                <w:b w:val="0"/>
                <w:i w:val="0"/>
                <w:sz w:val="17"/>
              </w:rPr>
              <w:t>There's a single feed listing all transfers, withdrawals and late joins together.</w:t>
            </w:r>
          </w:p>
        </w:tc>
        <w:tc>
          <w:tcPr>
            <w:tcW w:type="dxa" w:w="4248"/>
            <w:shd w:val="clear" w:fill="EEF1FA"/>
          </w:tcPr>
          <w:p>
            <w:pPr>
              <w:spacing w:after="40" w:before="40"/>
            </w:pPr>
            <w:r/>
            <w:r>
              <w:rPr>
                <w:b w:val="0"/>
                <w:i w:val="0"/>
                <w:color w:val="213098"/>
                <w:sz w:val="17"/>
              </w:rPr>
              <w:t>Would one combined list of all enrolment changes be useful, or do you track those elsewhere?</w:t>
            </w:r>
          </w:p>
        </w:tc>
        <w:tc>
          <w:tcPr>
            <w:tcW w:type="dxa" w:w="3672"/>
          </w:tcPr>
          <w:p>
            <w:pPr>
              <w:spacing w:after="40" w:before="40"/>
            </w:pPr>
            <w:r/>
            <w:r>
              <w:rPr>
                <w:b w:val="0"/>
                <w:i w:val="0"/>
                <w:sz w:val="18"/>
              </w:rPr>
            </w:r>
          </w:p>
        </w:tc>
      </w:tr>
      <w:tr>
        <w:tc>
          <w:tcPr>
            <w:tcW w:type="dxa" w:w="504"/>
          </w:tcPr>
          <w:p>
            <w:pPr>
              <w:spacing w:after="40" w:before="40"/>
            </w:pPr>
            <w:r/>
            <w:r>
              <w:rPr>
                <w:b/>
                <w:i w:val="0"/>
                <w:sz w:val="17"/>
              </w:rPr>
              <w:t>R5 ⏸</w:t>
            </w:r>
          </w:p>
        </w:tc>
        <w:tc>
          <w:tcPr>
            <w:tcW w:type="dxa" w:w="1368"/>
          </w:tcPr>
          <w:p>
            <w:pPr>
              <w:spacing w:after="40" w:before="40"/>
            </w:pPr>
            <w:r/>
            <w:r>
              <w:rPr>
                <w:b w:val="0"/>
                <w:i w:val="0"/>
                <w:sz w:val="17"/>
              </w:rPr>
              <w:t>Joann / Admissions</w:t>
            </w:r>
          </w:p>
        </w:tc>
        <w:tc>
          <w:tcPr>
            <w:tcW w:type="dxa" w:w="3960"/>
          </w:tcPr>
          <w:p>
            <w:pPr>
              <w:spacing w:after="40" w:before="40"/>
            </w:pPr>
            <w:r/>
            <w:r>
              <w:rPr>
                <w:b w:val="0"/>
                <w:i w:val="0"/>
                <w:sz w:val="17"/>
              </w:rPr>
              <w:t>Discount codes are managed under SIS Admin (office settings).</w:t>
            </w:r>
          </w:p>
        </w:tc>
        <w:tc>
          <w:tcPr>
            <w:tcW w:type="dxa" w:w="4248"/>
          </w:tcPr>
          <w:p>
            <w:pPr>
              <w:spacing w:after="40" w:before="40"/>
            </w:pPr>
            <w:r/>
            <w:r>
              <w:rPr>
                <w:b w:val="0"/>
                <w:i w:val="0"/>
                <w:color w:val="213098"/>
                <w:sz w:val="17"/>
              </w:rPr>
              <w:t>Who should own discount codes - the office/SIS Admin, or the admissions team?</w:t>
            </w:r>
          </w:p>
        </w:tc>
        <w:tc>
          <w:tcPr>
            <w:tcW w:type="dxa" w:w="3672"/>
          </w:tcPr>
          <w:p>
            <w:pPr>
              <w:spacing w:after="40" w:before="40"/>
            </w:pPr>
            <w:r/>
            <w:r>
              <w:rPr>
                <w:b w:val="0"/>
                <w:i w:val="0"/>
                <w:sz w:val="18"/>
              </w:rPr>
            </w:r>
          </w:p>
        </w:tc>
      </w:tr>
    </w:tbl>
    <w:p>
      <w:pPr>
        <w:spacing w:before="200"/>
      </w:pPr>
      <w:r>
        <w:rPr>
          <w:b/>
          <w:color w:val="213098"/>
          <w:sz w:val="26"/>
        </w:rPr>
        <w:t>P-Files (document renewals)</w:t>
      </w:r>
    </w:p>
    <w:p>
      <w:r>
        <w:rPr>
          <w:i/>
          <w:color w:val="555B6E"/>
          <w:sz w:val="17"/>
        </w:rPr>
        <w:t>Already confirmed: it's a document repository (not a review queue); enrolled students only; and STP documents aren't tracked (parents upload those to ICA directly).</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P1</w:t>
            </w:r>
          </w:p>
        </w:tc>
        <w:tc>
          <w:tcPr>
            <w:tcW w:type="dxa" w:w="1368"/>
          </w:tcPr>
          <w:p>
            <w:pPr>
              <w:spacing w:after="40" w:before="40"/>
            </w:pPr>
            <w:r/>
            <w:r>
              <w:rPr>
                <w:b w:val="0"/>
                <w:i w:val="0"/>
                <w:sz w:val="17"/>
              </w:rPr>
              <w:t>P-file officer</w:t>
            </w:r>
          </w:p>
        </w:tc>
        <w:tc>
          <w:tcPr>
            <w:tcW w:type="dxa" w:w="3960"/>
          </w:tcPr>
          <w:p>
            <w:pPr>
              <w:spacing w:after="40" w:before="40"/>
            </w:pPr>
            <w:r/>
            <w:r>
              <w:rPr>
                <w:b w:val="0"/>
                <w:i w:val="0"/>
                <w:sz w:val="17"/>
              </w:rPr>
              <w:t>When a document is expiring/expired, the officer chases the parent by emailing a reminder or marking 'promised by &lt;date&gt;', with a 24-hour gap between reminders.</w:t>
            </w:r>
          </w:p>
        </w:tc>
        <w:tc>
          <w:tcPr>
            <w:tcW w:type="dxa" w:w="4248"/>
          </w:tcPr>
          <w:p>
            <w:pPr>
              <w:spacing w:after="40" w:before="40"/>
            </w:pPr>
            <w:r/>
            <w:r>
              <w:rPr>
                <w:b w:val="0"/>
                <w:i w:val="0"/>
                <w:color w:val="213098"/>
                <w:sz w:val="17"/>
              </w:rPr>
              <w:t>When a passport/pass is expiring, how do you chase the family? Is emailing a reminder / marking a promised date how you'd work?</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P2</w:t>
            </w:r>
          </w:p>
        </w:tc>
        <w:tc>
          <w:tcPr>
            <w:tcW w:type="dxa" w:w="1368"/>
            <w:shd w:val="clear" w:fill="EEF1FA"/>
          </w:tcPr>
          <w:p>
            <w:pPr>
              <w:spacing w:after="40" w:before="40"/>
            </w:pPr>
            <w:r/>
            <w:r>
              <w:rPr>
                <w:b w:val="0"/>
                <w:i w:val="0"/>
                <w:sz w:val="17"/>
              </w:rPr>
              <w:t>P-file officer</w:t>
            </w:r>
          </w:p>
        </w:tc>
        <w:tc>
          <w:tcPr>
            <w:tcW w:type="dxa" w:w="3960"/>
            <w:shd w:val="clear" w:fill="EEF1FA"/>
          </w:tcPr>
          <w:p>
            <w:pPr>
              <w:spacing w:after="40" w:before="40"/>
            </w:pPr>
            <w:r/>
            <w:r>
              <w:rPr>
                <w:b w:val="0"/>
                <w:i w:val="0"/>
                <w:sz w:val="17"/>
              </w:rPr>
              <w:t>'Expiring soon' surfaces at 30 / 60 / 90 days before the expiry date.</w:t>
            </w:r>
          </w:p>
        </w:tc>
        <w:tc>
          <w:tcPr>
            <w:tcW w:type="dxa" w:w="4248"/>
            <w:shd w:val="clear" w:fill="EEF1FA"/>
          </w:tcPr>
          <w:p>
            <w:pPr>
              <w:spacing w:after="40" w:before="40"/>
            </w:pPr>
            <w:r/>
            <w:r>
              <w:rPr>
                <w:b w:val="0"/>
                <w:i w:val="0"/>
                <w:color w:val="213098"/>
                <w:sz w:val="17"/>
              </w:rPr>
              <w:t>How far ahead do you start chasing renewals - 30, 60, 90 days?</w:t>
            </w:r>
          </w:p>
        </w:tc>
        <w:tc>
          <w:tcPr>
            <w:tcW w:type="dxa" w:w="3672"/>
          </w:tcPr>
          <w:p>
            <w:pPr>
              <w:spacing w:after="40" w:before="40"/>
            </w:pPr>
            <w:r/>
            <w:r>
              <w:rPr>
                <w:b w:val="0"/>
                <w:i w:val="0"/>
                <w:sz w:val="18"/>
              </w:rPr>
            </w:r>
          </w:p>
        </w:tc>
      </w:tr>
    </w:tbl>
    <w:p>
      <w:pPr>
        <w:spacing w:before="200"/>
      </w:pPr>
      <w:r>
        <w:rPr>
          <w:b/>
          <w:color w:val="213098"/>
          <w:sz w:val="26"/>
        </w:rPr>
        <w:t>Parent portal</w:t>
      </w:r>
    </w:p>
    <w:p>
      <w:r>
        <w:rPr>
          <w:i/>
          <w:color w:val="555B6E"/>
          <w:sz w:val="17"/>
        </w:rPr>
        <w:t>Already confirmed: parents see report cards gated by publication windows; secure sign-in.</w:t>
      </w:r>
    </w:p>
    <w:tbl>
      <w:tblPr>
        <w:tblW w:type="auto" w:w="0"/>
        <w:jc w:val="center"/>
        <w:tblLook w:firstColumn="1" w:firstRow="1" w:lastColumn="0" w:lastRow="0" w:noHBand="0" w:noVBand="1" w:val="04A0"/>
        <w:tblBorders>
          <w:top w:val="single" w:sz="4" w:color="C7CEE6"/>
          <w:left w:val="single" w:sz="4" w:color="C7CEE6"/>
          <w:bottom w:val="single" w:sz="4" w:color="C7CEE6"/>
          <w:right w:val="single" w:sz="4" w:color="C7CEE6"/>
          <w:insideH w:val="single" w:sz="4" w:color="C7CEE6"/>
          <w:insideV w:val="single" w:sz="4" w:color="C7CEE6"/>
        </w:tblBorders>
      </w:tblPr>
      <w:tblGrid>
        <w:gridCol w:w="2822"/>
        <w:gridCol w:w="2822"/>
        <w:gridCol w:w="2822"/>
        <w:gridCol w:w="2822"/>
        <w:gridCol w:w="2822"/>
      </w:tblGrid>
      <w:tr>
        <w:tc>
          <w:tcPr>
            <w:tcW w:type="dxa" w:w="504"/>
            <w:shd w:val="clear" w:fill="213098"/>
          </w:tcPr>
          <w:p>
            <w:pPr>
              <w:spacing w:after="40" w:before="40"/>
            </w:pPr>
            <w:r/>
            <w:r>
              <w:rPr>
                <w:b/>
                <w:i w:val="0"/>
                <w:color w:val="FFFFFF"/>
                <w:sz w:val="18"/>
              </w:rPr>
              <w:t>#</w:t>
            </w:r>
          </w:p>
        </w:tc>
        <w:tc>
          <w:tcPr>
            <w:tcW w:type="dxa" w:w="1368"/>
            <w:shd w:val="clear" w:fill="213098"/>
          </w:tcPr>
          <w:p>
            <w:pPr>
              <w:spacing w:after="40" w:before="40"/>
            </w:pPr>
            <w:r/>
            <w:r>
              <w:rPr>
                <w:b/>
                <w:i w:val="0"/>
                <w:color w:val="FFFFFF"/>
                <w:sz w:val="18"/>
              </w:rPr>
              <w:t>For</w:t>
            </w:r>
          </w:p>
        </w:tc>
        <w:tc>
          <w:tcPr>
            <w:tcW w:type="dxa" w:w="3960"/>
            <w:shd w:val="clear" w:fill="213098"/>
          </w:tcPr>
          <w:p>
            <w:pPr>
              <w:spacing w:after="40" w:before="40"/>
            </w:pPr>
            <w:r/>
            <w:r>
              <w:rPr>
                <w:b/>
                <w:i w:val="0"/>
                <w:color w:val="FFFFFF"/>
                <w:sz w:val="18"/>
              </w:rPr>
              <w:t>What the system does today</w:t>
            </w:r>
          </w:p>
        </w:tc>
        <w:tc>
          <w:tcPr>
            <w:tcW w:type="dxa" w:w="4248"/>
            <w:shd w:val="clear" w:fill="213098"/>
          </w:tcPr>
          <w:p>
            <w:pPr>
              <w:spacing w:after="40" w:before="40"/>
            </w:pPr>
            <w:r/>
            <w:r>
              <w:rPr>
                <w:b/>
                <w:i w:val="0"/>
                <w:color w:val="FFFFFF"/>
                <w:sz w:val="18"/>
              </w:rPr>
              <w:t>Question for you</w:t>
            </w:r>
          </w:p>
        </w:tc>
        <w:tc>
          <w:tcPr>
            <w:tcW w:type="dxa" w:w="3672"/>
            <w:shd w:val="clear" w:fill="213098"/>
          </w:tcPr>
          <w:p>
            <w:pPr>
              <w:spacing w:after="40" w:before="40"/>
            </w:pPr>
            <w:r/>
            <w:r>
              <w:rPr>
                <w:b/>
                <w:i w:val="0"/>
                <w:color w:val="FFFFFF"/>
                <w:sz w:val="18"/>
              </w:rPr>
              <w:t>Your answer</w:t>
            </w:r>
          </w:p>
        </w:tc>
      </w:tr>
      <w:tr>
        <w:tc>
          <w:tcPr>
            <w:tcW w:type="dxa" w:w="504"/>
          </w:tcPr>
          <w:p>
            <w:pPr>
              <w:spacing w:after="40" w:before="40"/>
            </w:pPr>
            <w:r/>
            <w:r>
              <w:rPr>
                <w:b/>
                <w:i w:val="0"/>
                <w:sz w:val="17"/>
              </w:rPr>
              <w:t>PA1 ⏸</w:t>
            </w:r>
          </w:p>
        </w:tc>
        <w:tc>
          <w:tcPr>
            <w:tcW w:type="dxa" w:w="1368"/>
          </w:tcPr>
          <w:p>
            <w:pPr>
              <w:spacing w:after="40" w:before="40"/>
            </w:pPr>
            <w:r/>
            <w:r>
              <w:rPr>
                <w:b w:val="0"/>
                <w:i w:val="0"/>
                <w:sz w:val="17"/>
              </w:rPr>
              <w:t>Joann</w:t>
            </w:r>
          </w:p>
        </w:tc>
        <w:tc>
          <w:tcPr>
            <w:tcW w:type="dxa" w:w="3960"/>
          </w:tcPr>
          <w:p>
            <w:pPr>
              <w:spacing w:after="40" w:before="40"/>
            </w:pPr>
            <w:r/>
            <w:r>
              <w:rPr>
                <w:b w:val="0"/>
                <w:i w:val="0"/>
                <w:sz w:val="17"/>
              </w:rPr>
              <w:t>Saving a report card as a PDF is done through the browser's Print (there's no one-click PDF download button).</w:t>
            </w:r>
          </w:p>
        </w:tc>
        <w:tc>
          <w:tcPr>
            <w:tcW w:type="dxa" w:w="4248"/>
          </w:tcPr>
          <w:p>
            <w:pPr>
              <w:spacing w:after="40" w:before="40"/>
            </w:pPr>
            <w:r/>
            <w:r>
              <w:rPr>
                <w:b w:val="0"/>
                <w:i w:val="0"/>
                <w:color w:val="213098"/>
                <w:sz w:val="17"/>
              </w:rPr>
              <w:t>Is 'Print -&gt; Save as PDF' acceptable for report cards, or do you need a one-click PDF download?</w:t>
            </w:r>
          </w:p>
        </w:tc>
        <w:tc>
          <w:tcPr>
            <w:tcW w:type="dxa" w:w="3672"/>
          </w:tcPr>
          <w:p>
            <w:pPr>
              <w:spacing w:after="40" w:before="40"/>
            </w:pPr>
            <w:r/>
            <w:r>
              <w:rPr>
                <w:b w:val="0"/>
                <w:i w:val="0"/>
                <w:sz w:val="18"/>
              </w:rPr>
            </w:r>
          </w:p>
        </w:tc>
      </w:tr>
      <w:tr>
        <w:tc>
          <w:tcPr>
            <w:tcW w:type="dxa" w:w="504"/>
            <w:shd w:val="clear" w:fill="EEF1FA"/>
          </w:tcPr>
          <w:p>
            <w:pPr>
              <w:spacing w:after="40" w:before="40"/>
            </w:pPr>
            <w:r/>
            <w:r>
              <w:rPr>
                <w:b/>
                <w:i w:val="0"/>
                <w:sz w:val="17"/>
              </w:rPr>
              <w:t>PA2</w:t>
            </w:r>
          </w:p>
        </w:tc>
        <w:tc>
          <w:tcPr>
            <w:tcW w:type="dxa" w:w="1368"/>
            <w:shd w:val="clear" w:fill="EEF1FA"/>
          </w:tcPr>
          <w:p>
            <w:pPr>
              <w:spacing w:after="40" w:before="40"/>
            </w:pPr>
            <w:r/>
            <w:r>
              <w:rPr>
                <w:b w:val="0"/>
                <w:i w:val="0"/>
                <w:sz w:val="17"/>
              </w:rPr>
              <w:t>Joann</w:t>
            </w:r>
          </w:p>
        </w:tc>
        <w:tc>
          <w:tcPr>
            <w:tcW w:type="dxa" w:w="3960"/>
            <w:shd w:val="clear" w:fill="EEF1FA"/>
          </w:tcPr>
          <w:p>
            <w:pPr>
              <w:spacing w:after="40" w:before="40"/>
            </w:pPr>
            <w:r/>
            <w:r>
              <w:rPr>
                <w:b w:val="0"/>
                <w:i w:val="0"/>
                <w:sz w:val="17"/>
              </w:rPr>
              <w:t>Report cards are released per class-and-term, on a publication window you open and close.</w:t>
            </w:r>
          </w:p>
        </w:tc>
        <w:tc>
          <w:tcPr>
            <w:tcW w:type="dxa" w:w="4248"/>
            <w:shd w:val="clear" w:fill="EEF1FA"/>
          </w:tcPr>
          <w:p>
            <w:pPr>
              <w:spacing w:after="40" w:before="40"/>
            </w:pPr>
            <w:r/>
            <w:r>
              <w:rPr>
                <w:b w:val="0"/>
                <w:i w:val="0"/>
                <w:color w:val="213098"/>
                <w:sz w:val="17"/>
              </w:rPr>
              <w:t>Is releasing report cards per class-and-term, on a window you open, the right model?</w:t>
            </w:r>
          </w:p>
        </w:tc>
        <w:tc>
          <w:tcPr>
            <w:tcW w:type="dxa" w:w="3672"/>
          </w:tcPr>
          <w:p>
            <w:pPr>
              <w:spacing w:after="40" w:before="40"/>
            </w:pPr>
            <w:r/>
            <w:r>
              <w:rPr>
                <w:b w:val="0"/>
                <w:i w:val="0"/>
                <w:sz w:val="18"/>
              </w:rPr>
            </w:r>
          </w:p>
        </w:tc>
      </w:tr>
    </w:tbl>
    <w:p/>
    <w:p>
      <w:r>
        <w:rPr>
          <w:i/>
          <w:sz w:val="18"/>
        </w:rPr>
        <w:t>Thank you. Anything you mark as different becomes a small change to the system - most are simplifications. Hand this back once filled in (or add comments inline).</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