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07"/>
        <w:pBdr/>
        <w:spacing/>
        <w:ind/>
        <w:rPr/>
      </w:pPr>
      <w:r>
        <w:t xml:space="preserve">Processes Governing the Ablation of Intercepted Snow</w:t>
      </w:r>
      <w:r/>
    </w:p>
    <w:p>
      <w:pPr>
        <w:pStyle w:val="809"/>
        <w:pBdr/>
        <w:spacing/>
        <w:ind/>
        <w:rPr/>
      </w:pPr>
      <w:r>
        <w:t xml:space="preserve">Alex C. Cebulski</w:t>
      </w:r>
      <w:r>
        <w:rPr>
          <w:vertAlign w:val="superscript"/>
        </w:rPr>
        <w:t xml:space="preserve">1</w:t>
      </w:r>
      <w:r>
        <w:t xml:space="preserve"> </w:t>
      </w:r>
      <w:r>
        <w:t xml:space="preserve">(ORCID ID - 0000-0001-7910-5056), John W. Pomeroy</w:t>
      </w:r>
      <w:r>
        <w:rPr>
          <w:vertAlign w:val="superscript"/>
        </w:rPr>
        <w:t xml:space="preserve">1</w:t>
      </w:r>
      <w:r>
        <w:t xml:space="preserve"> </w:t>
      </w:r>
      <w:r>
        <w:t xml:space="preserve">(ORCID ID - 0000-0002-4782-7457)</w:t>
      </w:r>
      <w:r/>
    </w:p>
    <w:p>
      <w:pPr>
        <w:pStyle w:val="827"/>
        <w:pBdr/>
        <w:spacing/>
        <w:ind/>
        <w:rPr/>
      </w:pPr>
      <w:r>
        <w:rPr>
          <w:vertAlign w:val="superscript"/>
        </w:rPr>
        <w:t xml:space="preserve">1</w:t>
      </w:r>
      <w:r>
        <w:t xml:space="preserve">Centre for Hydrology, University of Saskatchewan, Canmore, Canada</w:t>
      </w:r>
      <w:r/>
    </w:p>
    <w:p>
      <w:pPr>
        <w:pStyle w:val="828"/>
        <w:pBdr/>
        <w:spacing/>
        <w:ind/>
        <w:rPr/>
      </w:pPr>
      <w:r>
        <w:rPr>
          <w:i/>
          <w:iCs/>
        </w:rPr>
        <w:t xml:space="preserve">Correspondence to</w:t>
      </w:r>
      <w:r>
        <w:t xml:space="preserve">: Alex C. Cebulski (alex.cebulski@usask.ca)</w:t>
      </w:r>
      <w:r/>
    </w:p>
    <w:p>
      <w:pPr>
        <w:pStyle w:val="707"/>
        <w:pBdr/>
        <w:spacing/>
        <w:ind/>
        <w:rPr/>
      </w:pPr>
      <w:r/>
      <w:bookmarkStart w:id="28" w:name="introduction"/>
      <w:r>
        <w:t xml:space="preserve">1. Introduction</w:t>
      </w:r>
      <w:r/>
    </w:p>
    <w:p>
      <w:pPr>
        <w:pStyle w:val="805"/>
        <w:pBdr/>
        <w:spacing/>
        <w:ind/>
        <w:rPr/>
      </w:pPr>
      <w:r>
        <w:t xml:space="preserve">The seasonal snowpack is an essential component of water resources in cold-regions across the globe</w:t>
      </w:r>
      <w:r>
        <w:t xml:space="preserve"> </w:t>
      </w:r>
      <w:r>
        <w:t xml:space="preserve">(Immerzeel et al., 2020; Viviroli et al., 2020)</w:t>
      </w:r>
      <w:r>
        <w:t xml:space="preserve">, yet are under threat by rapid climate and land cover change</w:t>
      </w:r>
      <w:r>
        <w:t xml:space="preserve"> </w:t>
      </w:r>
      <w:r>
        <w:t xml:space="preserve">(Aubry-Wake &amp; Pomeroy, 2023; Fang &amp; Pomeroy, 2023; López-Moreno et al., 2014; Szczypta et al., 2015)</w:t>
      </w:r>
      <w:r>
        <w:t xml:space="preserve">. Forest canopies cover over half of the snow covered zone in the northern Hemisphere</w:t>
      </w:r>
      <w:r>
        <w:t xml:space="preserve"> </w:t>
      </w:r>
      <w:r>
        <w:t xml:space="preserve">(Kim et al., 2017)</w:t>
      </w:r>
      <w:r>
        <w:t xml:space="preserve"> </w:t>
      </w:r>
      <w:r>
        <w:t xml:space="preserve">and therefore, understanding these systems are crucial for making informed ecological, land management, and water resource decisions. Vegetation cover can significantly alter the quantity by up to 45%</w:t>
      </w:r>
      <w:r>
        <w:t xml:space="preserve"> </w:t>
      </w:r>
      <w:r>
        <w:t xml:space="preserve">(Essery et al., 2003; Sanmiguel-Vallelado et al., 2020)</w:t>
      </w:r>
      <w:r>
        <w:t xml:space="preserve"> </w:t>
      </w:r>
      <w:r>
        <w:t xml:space="preserve">and timing</w:t>
      </w:r>
      <w:r>
        <w:t xml:space="preserve"> </w:t>
      </w:r>
      <w:r>
        <w:t xml:space="preserve">(Ellis et al., 2010; Safa et al., 2021)</w:t>
      </w:r>
      <w:r>
        <w:t xml:space="preserve"> </w:t>
      </w:r>
      <w:r>
        <w:t xml:space="preserve">of snow that reaches the ground, through initial interception and subsequent ablation via sublimation, melt, and unloading. Needleleaf canopies are particularly effective at intercepting snowfall</w:t>
      </w:r>
      <w:r>
        <w:t xml:space="preserve"> </w:t>
      </w:r>
      <w:r>
        <w:t xml:space="preserve">(Cebulski &amp; Pomeroy, 2025a; Hedstrom &amp; Pomeroy, 1998; Storck et al., 2002)</w:t>
      </w:r>
      <w:r>
        <w:t xml:space="preserve">, where intercepted snow is subject to increased energy fluxes relative to the the subcanopy snowpack leading to increased rates of melt and/or sublimation</w:t>
      </w:r>
      <w:r>
        <w:t xml:space="preserve"> </w:t>
      </w:r>
      <w:r>
        <w:t xml:space="preserve">(Parviainen &amp; Pomeroy, 2000; Pomeroy et al., 1998; Roesch et al., 2001; Storck et al., 2002)</w:t>
      </w:r>
      <w:r>
        <w:t xml:space="preserve">. The partitioning of snow to the atmosphere via sublimation</w:t>
      </w:r>
      <w:r>
        <w:t xml:space="preserve"> </w:t>
      </w:r>
      <w:r>
        <w:t xml:space="preserve">(Parviainen &amp; Pomeroy, 2000; Pomeroy et al., 1998)</w:t>
      </w:r>
      <w:r>
        <w:t xml:space="preserve"> </w:t>
      </w:r>
      <w:r>
        <w:t xml:space="preserve">or to the ground through unloading and meltwater drip</w:t>
      </w:r>
      <w:r>
        <w:t xml:space="preserve"> </w:t>
      </w:r>
      <w:r>
        <w:t xml:space="preserve">(Lumbrazo et al., 2022; Roesch et al., 2001; Storck et al., 2002)</w:t>
      </w:r>
      <w:r>
        <w:t xml:space="preserve"> </w:t>
      </w:r>
      <w:r>
        <w:t xml:space="preserve">is highly sensitive to meteorological conditions and forest structure contributing to substantial variability across regions and snowfall events. Coastal humid environments typically exhibit reduced sublimation losses</w:t>
      </w:r>
      <w:r>
        <w:t xml:space="preserve"> </w:t>
      </w:r>
      <w:r>
        <w:t xml:space="preserve">(Storck et al., 2002)</w:t>
      </w:r>
      <w:r>
        <w:t xml:space="preserve">, while enhanced canopy energy exchange can modify both the timing and physical state of snow reaching the forest floor. Conversely, continental climates with colder and drier conditions may experience substantial canopy sublimation losses</w:t>
      </w:r>
      <w:r>
        <w:t xml:space="preserve"> </w:t>
      </w:r>
      <w:r>
        <w:t xml:space="preserve">(Essery et al., 2003; Parviainen &amp; Pomeroy, 2000; Pomeroy et al., 1998)</w:t>
      </w:r>
      <w:r>
        <w:t xml:space="preserve">, though these can be mitigated by unloading rates</w:t>
      </w:r>
      <w:r>
        <w:t xml:space="preserve"> </w:t>
      </w:r>
      <w:r>
        <w:t xml:space="preserve">(Lumbrazo et al., 2022; Lundquist et al., 2021; Roesch et al., 2001)</w:t>
      </w:r>
      <w:r>
        <w:t xml:space="preserve">. Consequently, reliable models of snow accumulation and resulting streamflow in forested basins rely on a comprehensive understanding of interception processes</w:t>
      </w:r>
      <w:r>
        <w:t xml:space="preserve"> </w:t>
      </w:r>
      <w:r>
        <w:t xml:space="preserve">(Clark et al., 2015; Essery et al., 2003; Pomeroy et al., 2022; Verseghy, 2017)</w:t>
      </w:r>
      <w:r>
        <w:t xml:space="preserve">.</w:t>
      </w:r>
      <w:r/>
    </w:p>
    <w:p>
      <w:pPr>
        <w:pStyle w:val="783"/>
        <w:pBdr/>
        <w:spacing/>
        <w:ind/>
        <w:rPr/>
      </w:pPr>
      <w:r>
        <w:t xml:space="preserve">Recent work has highlighted the importance of distinguishing between the initial snow interception and subsequent ablation processes</w:t>
      </w:r>
      <w:r>
        <w:t xml:space="preserve"> </w:t>
      </w:r>
      <w:r>
        <w:t xml:space="preserve">(Cebulski &amp; Pomeroy, 2025b)</w:t>
      </w:r>
      <w:r>
        <w:t xml:space="preserve">. This separation allows for individual parameterizations for distinct processes, improving both process representation and the modular design of contemporary models—thereby supporting broader applicability across diverse environments</w:t>
      </w:r>
      <w:r>
        <w:t xml:space="preserve"> </w:t>
      </w:r>
      <w:r>
        <w:t xml:space="preserve">(Clark et al., 2015; Pomeroy et al., 2022)</w:t>
      </w:r>
      <w:r>
        <w:t xml:space="preserve">. In addition,</w:t>
      </w:r>
      <w:r>
        <w:t xml:space="preserve"> </w:t>
      </w:r>
      <w:r>
        <w:t xml:space="preserve">Lundquist et al. (2021)</w:t>
      </w:r>
      <w:r>
        <w:t xml:space="preserve"> </w:t>
      </w:r>
      <w:r>
        <w:t xml:space="preserve">and</w:t>
      </w:r>
      <w:r>
        <w:t xml:space="preserve"> </w:t>
      </w:r>
      <w:r>
        <w:t xml:space="preserve">Cebulski &amp; Pomeroy (2025a)</w:t>
      </w:r>
      <w:r>
        <w:t xml:space="preserve"> </w:t>
      </w:r>
      <w:r>
        <w:t xml:space="preserve">demonstrated improved representation of canopy snow processes without a maximum canopy snow load, typically included in the initial accumulation parameterisation. Together these studies</w:t>
      </w:r>
      <w:r>
        <w:t xml:space="preserve"> </w:t>
      </w:r>
      <w:r>
        <w:t xml:space="preserve">(Cebulski &amp; Pomeroy, 2025b; Cebulski &amp; Pomeroy, 2025a; Lundquist et al., 2021)</w:t>
      </w:r>
      <w:r>
        <w:t xml:space="preserve"> </w:t>
      </w:r>
      <w:r>
        <w:t xml:space="preserve">emphasize the need to revisit canopy snow ablation parameterisations, </w:t>
      </w:r>
      <w:r>
        <w:t xml:space="preserve">as existing routines were developed alongside accumulation schemes that already account for part of the ablation process. Moreover, canopy snow unloading parameterisations have demonstrated limited transferability across different climates and forest types</w:t>
      </w:r>
      <w:r>
        <w:t xml:space="preserve"> </w:t>
      </w:r>
      <w:r>
        <w:t xml:space="preserve">(Lumbrazo et al., 2022; Lundquist et al., 2021)</w:t>
      </w:r>
      <w:r>
        <w:t xml:space="preserve">, and this limitation has attributed as a key area of uncertainty in forest snowpack simulations in hydrological model intercomparisons</w:t>
      </w:r>
      <w:r>
        <w:t xml:space="preserve"> </w:t>
      </w:r>
      <w:r>
        <w:t xml:space="preserve">(Krinner et al., 2018; Rutter et al., 2009)</w:t>
      </w:r>
      <w:r>
        <w:t xml:space="preserve">.</w:t>
      </w:r>
      <w:r/>
    </w:p>
    <w:p>
      <w:pPr>
        <w:pStyle w:val="783"/>
        <w:pBdr/>
        <w:spacing/>
        <w:ind/>
        <w:rPr/>
      </w:pPr>
      <w:r>
        <w:t xml:space="preserve">Ablation of snow intercepted in the canopy as mass clumps of snow towards the ground, typically referred to as unloading, has been shown to be associated with air temperature</w:t>
      </w:r>
      <w:r>
        <w:t xml:space="preserve"> </w:t>
      </w:r>
      <w:r>
        <w:t xml:space="preserve">(Katsushima et al., 2023; Roesch et al., 2001)</w:t>
      </w:r>
      <w:r>
        <w:t xml:space="preserve">, ice-bulb temperature—which better represents the cooling effect of sublimation compared to air temperature—</w:t>
      </w:r>
      <w:r>
        <w:t xml:space="preserve">(Ellis et al., 2010; Floyd, 2012)</w:t>
      </w:r>
      <w:r>
        <w:t xml:space="preserve">, canopy snowmelt rate</w:t>
      </w:r>
      <w:r>
        <w:t xml:space="preserve"> </w:t>
      </w:r>
      <w:r>
        <w:t xml:space="preserve">(Storck et al., 2002)</w:t>
      </w:r>
      <w:r>
        <w:t xml:space="preserve">, and wind speed as shown in Fig. 2 for</w:t>
      </w:r>
      <w:r>
        <w:t xml:space="preserve"> </w:t>
      </w:r>
      <w:r>
        <w:t xml:space="preserve">(Bartlett &amp; Verseghy, 2015; Katsushima et al., 2023; Roesch et al.; 2001, 2001)</w:t>
      </w:r>
      <w:r>
        <w:t xml:space="preserve">, all of which are also a function of the canopy snow load. Additional detail on the individual parameterisations and associated uncertainties related to measurement difficulties and isolating individual process is discussed in</w:t>
      </w:r>
      <w:r>
        <w:t xml:space="preserve"> </w:t>
      </w:r>
      <w:r>
        <w:t xml:space="preserve">Cebulski &amp; Pomeroy (2025b)</w:t>
      </w:r>
      <w:r>
        <w:t xml:space="preserve">.</w:t>
      </w:r>
      <w:r/>
    </w:p>
    <w:p>
      <w:pPr>
        <w:pStyle w:val="783"/>
        <w:pBdr/>
        <w:spacing/>
        <w:ind/>
        <w:rPr/>
      </w:pPr>
      <w:r>
        <w:t xml:space="preserve">Melt of snow intercepted in the canopy is typically represented by either an energy balance approach</w:t>
      </w:r>
      <w:r>
        <w:t xml:space="preserve"> </w:t>
      </w:r>
      <w:r>
        <w:t xml:space="preserve">(Andreadis et al., 2009; e.g., Clark et al., 2015)</w:t>
      </w:r>
      <w:r>
        <w:t xml:space="preserve">, as a function of air temperature</w:t>
      </w:r>
      <w:r>
        <w:t xml:space="preserve"> </w:t>
      </w:r>
      <w:r>
        <w:t xml:space="preserve">(Roesch et al., 2001)</w:t>
      </w:r>
      <w:r>
        <w:t xml:space="preserve">, or a function of ice-bulb temperature</w:t>
      </w:r>
      <w:r>
        <w:t xml:space="preserve"> </w:t>
      </w:r>
      <w:r>
        <w:t xml:space="preserve">(Ellis et al., 2010; Floyd, 2012)</w:t>
      </w:r>
      <w:r>
        <w:t xml:space="preserve"> </w:t>
      </w:r>
      <w:r>
        <w:t xml:space="preserve">(Fig. 1). Sublimation is represented using an energy balance approach</w:t>
      </w:r>
      <w:r>
        <w:t xml:space="preserve"> </w:t>
      </w:r>
      <w:r>
        <w:t xml:space="preserve">(e.g., Essery et al., 2003; Verseghy, 2017)</w:t>
      </w:r>
      <w:r>
        <w:t xml:space="preserve"> </w:t>
      </w:r>
      <w:r>
        <w:t xml:space="preserve">or an analytical parameterisation</w:t>
      </w:r>
      <w:r>
        <w:t xml:space="preserve"> </w:t>
      </w:r>
      <w:r>
        <w:t xml:space="preserve">(Ellis et al., 2010)</w:t>
      </w:r>
      <w:r>
        <w:t xml:space="preserve"> </w:t>
      </w:r>
      <w:r>
        <w:t xml:space="preserve">following</w:t>
      </w:r>
      <w:r>
        <w:t xml:space="preserve"> </w:t>
      </w:r>
      <w:r>
        <w:t xml:space="preserve">Pomeroy et al. (1998)</w:t>
      </w:r>
      <w:r>
        <w:t xml:space="preserve">. Both the</w:t>
      </w:r>
      <w:r>
        <w:t xml:space="preserve"> </w:t>
      </w:r>
      <w:r>
        <w:t xml:space="preserve">Essery et al. (2003)</w:t>
      </w:r>
      <w:r>
        <w:t xml:space="preserve"> </w:t>
      </w:r>
      <w:r>
        <w:t xml:space="preserve">and</w:t>
      </w:r>
      <w:r>
        <w:t xml:space="preserve"> </w:t>
      </w:r>
      <w:r>
        <w:t xml:space="preserve">Pomeroy et al. (1998)</w:t>
      </w:r>
      <w:r>
        <w:t xml:space="preserve"> </w:t>
      </w:r>
      <w:r>
        <w:t xml:space="preserve">parameterisation include an aerodynamic resistance term to decrease the latent heat</w:t>
      </w:r>
      <w:r>
        <w:t xml:space="preserve"> flux from snow intercepted in the canopy as the canopy fills up with snow and its surface area decreases. However, the resistance term is based on earlier estimates of the maximum canopy snow load which has shown to be an underestimate in many other areas</w:t>
      </w:r>
      <w:r>
        <w:t xml:space="preserve"> </w:t>
      </w:r>
      <w:r>
        <w:t xml:space="preserve">(Cebulski &amp; Pomeroy, 2025a; Lundquist et al., 2021; Storck et al., 2002)</w:t>
      </w:r>
      <w:r>
        <w:t xml:space="preserve"> </w:t>
      </w:r>
      <w:r>
        <w:t xml:space="preserve">and should be reconsidered usi</w:t>
      </w:r>
      <w:r>
        <w:t xml:space="preserve">ng a larger maximum load. The merits of including more physically based energy balance methods compared to more empirically based functions for calculating snowmelt and sublimation have not been directly assessed using an event based process investigation.</w:t>
      </w:r>
      <w:r/>
    </w:p>
    <w:p>
      <w:pPr>
        <w:pStyle w:val="783"/>
        <w:pBdr/>
        <w:spacing/>
        <w:ind/>
        <w:rPr/>
      </w:pPr>
      <w:r>
        <w:t xml:space="preserve">Quantifying individual canopy snow ablation processes including unloading, melt, and sublimation remains challenging, even with sophisticated lysimetry</w:t>
      </w:r>
      <w:r>
        <w:t xml:space="preserve"> </w:t>
      </w:r>
      <w:r>
        <w:t xml:space="preserve">(Storck et al., 2002)</w:t>
      </w:r>
      <w:r>
        <w:t xml:space="preserve"> </w:t>
      </w:r>
      <w:r>
        <w:t xml:space="preserve">and eddy-covariance systems</w:t>
      </w:r>
      <w:r>
        <w:t xml:space="preserve"> </w:t>
      </w:r>
      <w:r>
        <w:t xml:space="preserve">(Conway et al., 2018; Harvey et al., 2025; Helgason &amp; Pomeroy, 2012b)</w:t>
      </w:r>
      <w:r>
        <w:t xml:space="preserve">. Consequently, some studies have developed canopy snow ablation parameterizations using methods that do not distinguish individual processes such as above canopy albedo</w:t>
      </w:r>
      <w:r>
        <w:t xml:space="preserve"> </w:t>
      </w:r>
      <w:r>
        <w:t xml:space="preserve">(Bartlett &amp; Verseghy, 2015; Roesch et al., 2001)</w:t>
      </w:r>
      <w:r>
        <w:t xml:space="preserve">. While these approaches offer useful indicat</w:t>
      </w:r>
      <w:r>
        <w:t xml:space="preserve">ors of overall model performance, they provide limited insight into the accuracy of individual process representations. Lysimeter-based measurements offer more direct process-level observations but are limited by freeze–thaw cycles and concurrent processes</w:t>
      </w:r>
      <w:r>
        <w:t xml:space="preserve"> </w:t>
      </w:r>
      <w:r>
        <w:t xml:space="preserve">(Floyd, 2012; Storck et al., 2002)</w:t>
      </w:r>
      <w:r>
        <w:t xml:space="preserve">. A hybrid diagnostic approach that combines individual process measurements with simulations, as well as, full-output metrics such as canopy snow load from a weighed tree has yet to be applied but is explored in this study.</w:t>
      </w:r>
      <w:r/>
    </w:p>
    <w:p>
      <w:pPr>
        <w:pStyle w:val="783"/>
        <w:pBdr/>
        <w:spacing/>
        <w:ind/>
        <w:rPr/>
      </w:pPr>
      <w:r>
        <w:t xml:space="preserve">The objective of this study is to determine if the theoretical underpinnings and assumptions behind e</w:t>
      </w:r>
      <w:r>
        <w:t xml:space="preserve">xisting canopy snow ablation parameterisations are supported by in-situ observations collected from a subalpine forest in the Canadian Rockies. This study specifically looks at canopy snow ablation after snowfall, initial interception has been discussed in</w:t>
      </w:r>
      <w:r>
        <w:t xml:space="preserve"> </w:t>
      </w:r>
      <w:r>
        <w:t xml:space="preserve">Cebulski &amp; Pomeroy (2025b)</w:t>
      </w:r>
      <w:r>
        <w:t xml:space="preserve">.</w:t>
      </w:r>
      <w:r/>
    </w:p>
    <w:p>
      <w:pPr>
        <w:pStyle w:val="783"/>
        <w:pBdr/>
        <w:spacing/>
        <w:ind/>
        <w:rPr/>
      </w:pPr>
      <w:r>
        <w:t xml:space="preserve">Research Questions:</w:t>
      </w:r>
      <w:r/>
    </w:p>
    <w:p>
      <w:pPr>
        <w:numPr>
          <w:ilvl w:val="0"/>
          <w:numId w:val="15"/>
        </w:numPr>
        <w:pBdr/>
        <w:spacing/>
        <w:ind/>
        <w:rPr>
          <w:sz w:val="24"/>
          <w:szCs w:val="24"/>
        </w:rPr>
      </w:pPr>
      <w:r>
        <w:rPr>
          <w:sz w:val="24"/>
          <w:szCs w:val="24"/>
        </w:rPr>
        <w:t xml:space="preserve">How does air temperature, wind, canopy snow sublimation, and snowmelt influence the rate of canopy snow unloading?</w:t>
      </w:r>
      <w:r>
        <w:rPr>
          <w:sz w:val="24"/>
          <w:szCs w:val="24"/>
        </w:rPr>
      </w:r>
    </w:p>
    <w:p>
      <w:pPr>
        <w:numPr>
          <w:ilvl w:val="0"/>
          <w:numId w:val="15"/>
        </w:numPr>
        <w:pBdr/>
        <w:spacing/>
        <w:ind/>
        <w:rPr>
          <w:sz w:val="24"/>
          <w:szCs w:val="24"/>
        </w:rPr>
      </w:pPr>
      <w:r>
        <w:rPr>
          <w:sz w:val="24"/>
          <w:szCs w:val="24"/>
        </w:rPr>
        <w:t xml:space="preserve">To what extent do current theoretical models of canopy snow ablation align with in-situ observations?</w:t>
      </w:r>
      <w:r>
        <w:rPr>
          <w:sz w:val="24"/>
          <w:szCs w:val="24"/>
        </w:rPr>
      </w:r>
    </w:p>
    <w:p>
      <w:pPr>
        <w:numPr>
          <w:ilvl w:val="0"/>
          <w:numId w:val="15"/>
        </w:numPr>
        <w:pBdr/>
        <w:spacing/>
        <w:ind/>
        <w:rPr>
          <w:sz w:val="24"/>
          <w:szCs w:val="24"/>
        </w:rPr>
      </w:pPr>
      <w:r>
        <w:rPr>
          <w:sz w:val="24"/>
          <w:szCs w:val="24"/>
        </w:rPr>
        <w:t xml:space="preserve">What modifications of existing models, if any, are necessary to accurately represent ablation of snow intercepted in the canopy and what is the performance of the updated model?</w:t>
      </w:r>
      <w:r>
        <w:rPr>
          <w:sz w:val="24"/>
          <w:szCs w:val="24"/>
        </w:rP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Style w:val="806"/>
              <w:pBdr/>
              <w:spacing/>
              <w:ind/>
              <w:jc w:val="center"/>
              <w:rPr/>
            </w:pPr>
            <w:r/>
            <w:bookmarkStart w:id="23" w:name="fig-unl-ex-temp"/>
            <w:r>
              <mc:AlternateContent>
                <mc:Choice Requires="wpg">
                  <w:drawing>
                    <wp:inline xmlns:wp="http://schemas.openxmlformats.org/drawingml/2006/wordprocessingDrawing" distT="0" distB="0" distL="0" distR="0">
                      <wp:extent cx="5504749" cy="3669832"/>
                      <wp:effectExtent l="0" t="0" r="0" b="0"/>
                      <wp:docPr id="1"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figs/examples/unloading_drip_hp98_rw01.png"/>
                              <pic:cNvPicPr>
                                <a:picLocks noChangeAspect="1" noChangeArrowheads="1"/>
                              </pic:cNvPicPr>
                              <pic:nvPr/>
                            </pic:nvPicPr>
                            <pic:blipFill>
                              <a:blip r:embed="rId9"/>
                              <a:stretch/>
                            </pic:blipFill>
                            <pic:spPr bwMode="auto">
                              <a:xfrm>
                                <a:off x="0" y="0"/>
                                <a:ext cx="5504749" cy="3669832"/>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33.44pt;height:288.96pt;mso-wrap-distance-left:0.00pt;mso-wrap-distance-top:0.00pt;mso-wrap-distance-right:0.00pt;mso-wrap-distance-bottom:0.00pt;z-index:1;" stroked="f" strokeweight="0.75pt">
                      <v:imagedata r:id="rId9" o:title=""/>
                      <o:lock v:ext="edit" rotation="t"/>
                    </v:shape>
                  </w:pict>
                </mc:Fallback>
              </mc:AlternateContent>
            </w:r>
            <w:r/>
          </w:p>
          <w:p>
            <w:pPr>
              <w:pBdr/>
              <w:spacing w:before="200"/>
              <w:ind/>
              <w:jc w:val="left"/>
              <w:rPr/>
            </w:pPr>
            <w:r>
              <w:t xml:space="preserve">Figure 1: The</w:t>
            </w:r>
            <w:r>
              <w:t xml:space="preserve"> </w:t>
            </w:r>
            <w:r>
              <w:t xml:space="preserve">Ellis et al. (2010)</w:t>
            </w:r>
            <w:r>
              <w:t xml:space="preserve"> </w:t>
            </w:r>
            <w:r>
              <w:t xml:space="preserve">and</w:t>
            </w:r>
            <w:r>
              <w:t xml:space="preserve"> </w:t>
            </w:r>
            <w:r>
              <w:t xml:space="preserve">Floyd (2012)</w:t>
            </w:r>
            <w:r>
              <w:t xml:space="preserve"> </w:t>
            </w:r>
            <w:r>
              <w:t xml:space="preserve">(E10) predicted unloading and drip rate (left) and the</w:t>
            </w:r>
            <w:r>
              <w:t xml:space="preserve"> </w:t>
            </w:r>
            <w:r>
              <w:t xml:space="preserve">Roesch et al. (2001)</w:t>
            </w:r>
            <w:r>
              <w:t xml:space="preserve"> </w:t>
            </w:r>
            <w:r>
              <w:t xml:space="preserve">(R01) unloading rate (right) with increasing air temperature. Wind speed for the RW01 parameterisation was set to zero.</w:t>
            </w:r>
            <w:bookmarkEnd w:id="23"/>
            <w:r/>
          </w:p>
        </w:tc>
      </w:tr>
    </w:tbl>
    <w:p>
      <w:pPr>
        <w:pStyle w:val="783"/>
        <w:pBdr/>
        <w:spacing/>
        <w:ind/>
        <w:rPr/>
      </w:pPr>
      <w:r>
        <w:t xml:space="preserve"> </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Style w:val="806"/>
              <w:pBdr/>
              <w:spacing/>
              <w:ind/>
              <w:jc w:val="center"/>
              <w:rPr/>
            </w:pPr>
            <w:r/>
            <w:bookmarkStart w:id="27" w:name="fig-unl-ex-wind"/>
            <w:r>
              <mc:AlternateContent>
                <mc:Choice Requires="wpg">
                  <w:drawing>
                    <wp:inline xmlns:wp="http://schemas.openxmlformats.org/drawingml/2006/wordprocessingDrawing" distT="0" distB="0" distL="0" distR="0">
                      <wp:extent cx="5504749" cy="3669832"/>
                      <wp:effectExtent l="0" t="0" r="0" b="0"/>
                      <wp:docPr id="2"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figs/examples/roesch_unloading.png"/>
                              <pic:cNvPicPr>
                                <a:picLocks noChangeAspect="1" noChangeArrowheads="1"/>
                              </pic:cNvPicPr>
                              <pic:nvPr/>
                            </pic:nvPicPr>
                            <pic:blipFill>
                              <a:blip r:embed="rId10"/>
                              <a:stretch/>
                            </pic:blipFill>
                            <pic:spPr bwMode="auto">
                              <a:xfrm>
                                <a:off x="0" y="0"/>
                                <a:ext cx="5504749" cy="3669832"/>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33.44pt;height:288.96pt;mso-wrap-distance-left:0.00pt;mso-wrap-distance-top:0.00pt;mso-wrap-distance-right:0.00pt;mso-wrap-distance-bottom:0.00pt;z-index:1;" stroked="f" strokeweight="0.75pt">
                      <v:imagedata r:id="rId10" o:title=""/>
                      <o:lock v:ext="edit" rotation="t"/>
                    </v:shape>
                  </w:pict>
                </mc:Fallback>
              </mc:AlternateContent>
            </w:r>
            <w:r/>
          </w:p>
          <w:p>
            <w:pPr>
              <w:pBdr/>
              <w:spacing w:before="200"/>
              <w:ind/>
              <w:jc w:val="left"/>
              <w:rPr/>
            </w:pPr>
            <w:r>
              <w:t xml:space="preserve">Figure 2: The</w:t>
            </w:r>
            <w:r>
              <w:t xml:space="preserve"> </w:t>
            </w:r>
            <w:r>
              <w:t xml:space="preserve">Roesch et al. (2001)</w:t>
            </w:r>
            <w:r>
              <w:t xml:space="preserve"> </w:t>
            </w:r>
            <w:r>
              <w:t xml:space="preserve">predicted unloading rate with increasing wind speed and constant air temperature of -10°C.</w:t>
            </w:r>
            <w:bookmarkEnd w:id="27"/>
            <w:bookmarkEnd w:id="28"/>
            <w:r/>
          </w:p>
        </w:tc>
      </w:tr>
    </w:tbl>
    <w:p>
      <w:pPr>
        <w:pStyle w:val="707"/>
        <w:pBdr/>
        <w:spacing/>
        <w:ind/>
        <w:rPr/>
      </w:pPr>
      <w:r/>
      <w:bookmarkStart w:id="33" w:name="study-site-and-instrumentation"/>
      <w:r>
        <w:t xml:space="preserve">2. Study Site and Instrumentation</w:t>
      </w:r>
      <w:r/>
    </w:p>
    <w:p>
      <w:pPr>
        <w:pStyle w:val="805"/>
        <w:pBdr/>
        <w:spacing/>
        <w:ind/>
        <w:rPr/>
      </w:pPr>
      <w:r>
        <w:t xml:space="preserve">The observations presented in this study were colle</w:t>
      </w:r>
      <w:r>
        <w:t xml:space="preserve">cted at Fortress Mountain Research Basin (FMRB), AB, -115° W, 51° N, a continental headwater basin in the Canadian Rockies at 2100 m above sea level. Air temperature, humidity, and wind speed were measured at a height of 4.3 m at Forest Tower (FT) Station </w:t>
      </w:r>
      <w:r>
        <w:t xml:space="preserve">(Fig. 3). Shear stress was calculated using the EddyPro software (LI-COR Biosciences) based on high-frequency wind measurements from a CSAT3 three-dimensional sonic anemometer (Campbell Scientific) installed at 3.0 m at FT station. The CSAT3 was frequently</w:t>
      </w:r>
      <w:r>
        <w:t xml:space="preserve"> covered in snow during the analysis period, and thus to provide a complete record of shear stress, a linear relationship between was established between shear stress derived from the CSAT3 and the square of wind speed measured at 4.3 m at the FT station (</w:t>
      </w:r>
      <w:r>
        <w:rPr>
          <w:i/>
          <w:iCs/>
        </w:rPr>
        <w:t xml:space="preserve">R</w:t>
      </w:r>
      <w:r>
        <w:rPr>
          <w:i/>
          <w:iCs/>
          <w:vertAlign w:val="superscript"/>
        </w:rPr>
        <w:t xml:space="preserve">2</w:t>
      </w:r>
      <w:r>
        <w:t xml:space="preserve"> </w:t>
      </w:r>
      <w:r>
        <w:t xml:space="preserve">= 0.71,</w:t>
      </w:r>
      <w:r>
        <w:t xml:space="preserve"> </w:t>
      </w:r>
      <w:r>
        <w:rPr>
          <w:i/>
          <w:iCs/>
        </w:rPr>
        <w:t xml:space="preserve">p</w:t>
      </w:r>
      <w:r>
        <w:t xml:space="preserve"> </w:t>
      </w:r>
      <w:r>
        <w:t xml:space="preserve">&lt; 0.05, see supporting information). This relationship was then used to gap-fill shear stress during periods when the CSAT3 was snow-covered. The precipitation rate was measured by an Alter-shielded OTT Pluvio weighing precipitation gauge ins</w:t>
      </w:r>
      <w:r>
        <w:t xml:space="preserve">talled 2.6 m above ground at Powerline (PWL) Station (Fig. 3). Incoming and outgoing solar radiation was measured by a Kipp &amp; Zonen CNR4 4-Component Net Radiometer installed 3.27 m above the ground at Fortress Ridge Station 2.0 km to the northwest of FT st</w:t>
      </w:r>
      <w:r>
        <w:t xml:space="preserve">ation (-115.2, 50.8). This windy exposed site was selected to reduce snow accumulation on the radiometer, in addition to the CNR4’s built-in heating element. Three subcanopy lysimeters, consisting of a plastic horse-watering trough with an opening of 0.9 m</w:t>
      </w:r>
      <w:r>
        <w:rPr>
          <w:vertAlign w:val="superscript"/>
        </w:rPr>
        <w:t xml:space="preserve">2</w:t>
      </w:r>
      <w:r>
        <w:t xml:space="preserve"> </w:t>
      </w:r>
      <w:r>
        <w:t xml:space="preserve">and depth of 20 cm suspended from a load cell, were installed t</w:t>
      </w:r>
      <w:r>
        <w:t xml:space="preserve">o measure subcanopy snow accumulation. A weighed tree lysimeter (subalpine fir) suspended from a load cell (Artech S-Type 20210-100) measured the weight of canopy snow load (kg) and was scaled to an areal estimate of snow load (mm) using snow surveys as in</w:t>
      </w:r>
      <w:r>
        <w:t xml:space="preserve"> </w:t>
      </w:r>
      <w:r>
        <w:t xml:space="preserve">Pomeroy &amp; Schmidt (1993)</w:t>
      </w:r>
      <w:r>
        <w:t xml:space="preserve">. Additional details on this study site and the meteorological and lysimeter measurements have been described in</w:t>
      </w:r>
      <w:r>
        <w:t xml:space="preserve"> </w:t>
      </w:r>
      <w:r>
        <w:t xml:space="preserve">Cebulski &amp; Pomeroy (2025a)</w:t>
      </w:r>
      <w:r>
        <w:t xml:space="preserve">. </w:t>
      </w:r>
      <w:r>
        <w:t xml:space="preserve">Four tipping bucket rain gauges, 3 Texas Electronics TR-525M and 1 Hyquest Solutions TB4MM were installed along a 15 m transect adjacent to the dense canopy subcanopy lysimeter to measure canopy snowmelt drainage. To isolate the subcanopy lysimeter measure</w:t>
      </w:r>
      <w:r>
        <w:t xml:space="preserve">ments of canopy snow unloading from throughfall, 15-min intervals were selected that met the following criteria: no atmospheric precipitation, and snow was observed to be intercepted in the canopy using the weighed tree and timelapse imagery investigation.</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Style w:val="806"/>
              <w:pBdr/>
              <w:spacing/>
              <w:ind/>
              <w:jc w:val="center"/>
              <w:rPr/>
            </w:pPr>
            <w:r/>
            <w:bookmarkStart w:id="32" w:name="fig-site-map"/>
            <w:r>
              <mc:AlternateContent>
                <mc:Choice Requires="wpg">
                  <w:drawing>
                    <wp:inline xmlns:wp="http://schemas.openxmlformats.org/drawingml/2006/wordprocessingDrawing" distT="0" distB="0" distL="0" distR="0">
                      <wp:extent cx="6362700" cy="4709235"/>
                      <wp:effectExtent l="0" t="0" r="0" b="0"/>
                      <wp:docPr id="3"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figs/study-site/site_map_inset.png"/>
                              <pic:cNvPicPr>
                                <a:picLocks noChangeAspect="1" noChangeArrowheads="1"/>
                              </pic:cNvPicPr>
                              <pic:nvPr/>
                            </pic:nvPicPr>
                            <pic:blipFill>
                              <a:blip r:embed="rId11"/>
                              <a:stretch/>
                            </pic:blipFill>
                            <pic:spPr bwMode="auto">
                              <a:xfrm>
                                <a:off x="0" y="0"/>
                                <a:ext cx="6362700" cy="4709235"/>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01.00pt;height:370.81pt;mso-wrap-distance-left:0.00pt;mso-wrap-distance-top:0.00pt;mso-wrap-distance-right:0.00pt;mso-wrap-distance-bottom:0.00pt;z-index:1;" stroked="f" strokeweight="0.75pt">
                      <v:imagedata r:id="rId11" o:title=""/>
                      <o:lock v:ext="edit" rotation="t"/>
                    </v:shape>
                  </w:pict>
                </mc:Fallback>
              </mc:AlternateContent>
            </w:r>
            <w:r/>
          </w:p>
          <w:p>
            <w:pPr>
              <w:pBdr/>
              <w:spacing w:before="200"/>
              <w:ind/>
              <w:jc w:val="left"/>
              <w:rPr/>
            </w:pPr>
            <w:r>
              <w:t xml:space="preserve">Figure 3: Map showing the location of flux towers and lysimeter instruments. The inset map on the upper left shows the regional location of Fortress Mountain Research basin.</w:t>
            </w:r>
            <w:bookmarkEnd w:id="32"/>
            <w:bookmarkEnd w:id="33"/>
            <w:r/>
          </w:p>
        </w:tc>
      </w:tr>
    </w:tbl>
    <w:p>
      <w:pPr>
        <w:pStyle w:val="707"/>
        <w:pBdr/>
        <w:spacing/>
        <w:ind/>
        <w:rPr/>
      </w:pPr>
      <w:r/>
      <w:bookmarkStart w:id="40" w:name="methods"/>
      <w:r>
        <w:t xml:space="preserve">3. Methods</w:t>
      </w:r>
      <w:r/>
    </w:p>
    <w:p>
      <w:pPr>
        <w:pStyle w:val="708"/>
        <w:pBdr/>
        <w:spacing/>
        <w:ind/>
        <w:rPr/>
      </w:pPr>
      <w:r/>
      <w:bookmarkStart w:id="39" w:name="Xd47f66047609e0a042cc084559144bba3d1a972"/>
      <w:r>
        <w:t xml:space="preserve">3.1 Statistics on Canopy Snow Unloading Relationships</w:t>
      </w:r>
      <w:r/>
    </w:p>
    <w:p>
      <w:pPr>
        <w:pStyle w:val="709"/>
        <w:pBdr/>
        <w:spacing/>
        <w:ind/>
        <w:rPr/>
      </w:pPr>
      <w:r/>
      <w:bookmarkStart w:id="34" w:name="X0a4495a5d7bbcb81ebd960ba1c9a6a5b0eeed96"/>
      <w:r>
        <w:t xml:space="preserve">3.1.1 Combined influence of predictors on unloading</w:t>
      </w:r>
      <w:r/>
    </w:p>
    <w:p>
      <w:pPr>
        <w:pStyle w:val="805"/>
        <w:pBdr/>
        <w:spacing/>
        <w:ind/>
        <w:rPr/>
      </w:pPr>
      <w:r>
        <w:t xml:space="preserve">The influence of air temperature, wind speed, snow load, melt, and sublimation on the unloading process was assessed using a multivariate ordinary least squares (OLS) regression. The analyses tested the following hypotheses:</w:t>
      </w:r>
      <w:r/>
    </w:p>
    <w:p>
      <w:pPr>
        <w:pStyle w:val="806"/>
        <w:numPr>
          <w:ilvl w:val="0"/>
          <w:numId w:val="16"/>
        </w:numPr>
        <w:pBdr/>
        <w:spacing/>
        <w:ind/>
        <w:rPr/>
      </w:pPr>
      <w:r>
        <w:t xml:space="preserve">Melt promotes unloading through loss of structural integrity, particle bond weakening, and lubrication.</w:t>
      </w:r>
      <w:r/>
    </w:p>
    <w:p>
      <w:pPr>
        <w:pStyle w:val="806"/>
        <w:numPr>
          <w:ilvl w:val="0"/>
          <w:numId w:val="16"/>
        </w:numPr>
        <w:pBdr/>
        <w:spacing/>
        <w:ind/>
        <w:rPr/>
      </w:pPr>
      <w:r>
        <w:t xml:space="preserve">Sublimation promotes unloading via structural degradation and bond weakening.</w:t>
      </w:r>
      <w:r/>
    </w:p>
    <w:p>
      <w:pPr>
        <w:pStyle w:val="806"/>
        <w:numPr>
          <w:ilvl w:val="0"/>
          <w:numId w:val="16"/>
        </w:numPr>
        <w:pBdr/>
        <w:spacing/>
        <w:ind/>
        <w:rPr/>
      </w:pPr>
      <w:r>
        <w:t xml:space="preserve">Wind promotes unloading through shear stress on snow, wind erosion, and branch movement.</w:t>
      </w:r>
      <w:r/>
    </w:p>
    <w:p>
      <w:pPr>
        <w:pStyle w:val="806"/>
        <w:numPr>
          <w:ilvl w:val="0"/>
          <w:numId w:val="16"/>
        </w:numPr>
        <w:pBdr/>
        <w:spacing/>
        <w:ind/>
        <w:rPr/>
      </w:pPr>
      <w:r>
        <w:t xml:space="preserve">Air temperature promotes unloading by increased elasticity branches and association with melt/sublimation.</w:t>
      </w:r>
      <w:r/>
    </w:p>
    <w:p>
      <w:pPr>
        <w:pStyle w:val="805"/>
        <w:pBdr/>
        <w:spacing/>
        <w:ind/>
        <w:rPr/>
      </w:pPr>
      <w:r>
        <w:t xml:space="preserve">Since many of these processes occur simultaneously and could not be isolated experimentally, different combinations of the independent variables were included in the regression to identify wh</w:t>
      </w:r>
      <w:r>
        <w:t xml:space="preserve">ich sets of processes significantly influenced unloading. The subcanopy lysimeter unloading measurements had a high relative instrument error due to the relatively small accumulation of unloaded snow over the 15-min intervals. To improve instrument accurac</w:t>
      </w:r>
      <w:r>
        <w:t xml:space="preserve">y, while maintain consistency of the unloading measurements with wind speed, the 15-min interval measurements of unloading were aggregated over differing predictor variable bins. Air temperature and wind speed were measured at FT station, canopy snow load </w:t>
      </w:r>
      <w:r>
        <w:t xml:space="preserve">from the weighed tree lysimeter (scaled to the canopy of each respective subcanopy lysimeter), and canopy snowmelt and sublimation simulated using the Cold Regions Hydrological Modelling Platform (CRHM). A full description of the CRHM model is described in</w:t>
      </w:r>
      <w:r>
        <w:t xml:space="preserve"> </w:t>
      </w:r>
      <w:r>
        <w:t xml:space="preserve">Pomeroy et al. (2007)</w:t>
      </w:r>
      <w:r>
        <w:t xml:space="preserve"> </w:t>
      </w:r>
      <w:r>
        <w:t xml:space="preserve">and the up to date source code is available at https://github.com/srlabUsask/crhmcode. Sublimation was simulated using Equation 10 following</w:t>
      </w:r>
      <w:r>
        <w:t xml:space="preserve"> </w:t>
      </w:r>
      <w:r>
        <w:t xml:space="preserve">Essery et al. (2003)</w:t>
      </w:r>
      <w:r>
        <w:t xml:space="preserve"> </w:t>
      </w:r>
      <w:r>
        <w:t xml:space="preserve">and snowmelt calculated using available energy from Equation 3 and were both implemented as a new module in CRHM. Independent variable bins that had less than 0.1 mm of accumulated snow were removed, resulting in a mean i</w:t>
      </w:r>
      <w:r>
        <w:t xml:space="preserve">nstrument error of +/- 2% for the remaining bins. The individual processes found to be significant predictors of unloading in the multivariate regression (i.e., shear stress and canopy snow melt) were then isolated to parameterise a model of their effects.</w:t>
      </w:r>
      <w:bookmarkEnd w:id="34"/>
      <w:r/>
    </w:p>
    <w:p>
      <w:pPr>
        <w:pStyle w:val="709"/>
        <w:pBdr/>
        <w:spacing/>
        <w:ind/>
        <w:rPr/>
      </w:pPr>
      <w:r/>
      <w:bookmarkStart w:id="35" w:name="wind-induced-unloading"/>
      <w:r>
        <w:t xml:space="preserve">3.1.2 Wind induced unloading</w:t>
      </w:r>
      <w:r/>
    </w:p>
    <w:p>
      <w:pPr>
        <w:pStyle w:val="805"/>
        <w:pBdr/>
        <w:spacing/>
        <w:ind/>
        <w:rPr/>
      </w:pPr>
      <w:r>
        <w:t xml:space="preserve">The influence of wind, shear stress and canopy snow load on unloading was assessed during intervals without canopy snowmelt. These periods were defined using simulated canopy sno</w:t>
      </w:r>
      <w:r>
        <w:t xml:space="preserve">wmelt in CRHM and by visual analysis of time-lapse imagery. By excluding periods influenced by melt, the snow captured by the lysimeters is attributed primarily to wind-driven unloading. Although unloading resulting from snow metamorphism or thermally indu</w:t>
      </w:r>
      <w:r>
        <w:t xml:space="preserve">ced branch bending may also contribute, the observed unloading is interpreted to be predominantly wind-induced over these intervals. The relationship between wind speed, shear stress, canopy snow load, and unloading was analyzed using linear and non-linear</w:t>
      </w:r>
      <w:r>
        <w:t xml:space="preserve"> least squares regression, with shear stress modelled linearly and wind speed modelled exponentially. The linear relationship between shear stress, canopy load, and unloading did not include an intercept term and was thus the coefficient of determination (</w:t>
      </w:r>
      <w:r>
        <w:rPr>
          <w:i/>
          <w:iCs/>
        </w:rPr>
        <w:t xml:space="preserve">R</w:t>
      </w:r>
      <w:r>
        <w:rPr>
          <w:i/>
          <w:iCs/>
          <w:vertAlign w:val="superscript"/>
        </w:rPr>
        <w:t xml:space="preserve">2</w:t>
      </w:r>
      <w:r>
        <w:t xml:space="preserve">) was adjusted following</w:t>
      </w:r>
      <w:r>
        <w:t xml:space="preserve"> </w:t>
      </w:r>
      <w:r>
        <w:t xml:space="preserve">(Kozak &amp; Kozak, 1995)</w:t>
      </w:r>
      <w:r>
        <w:t xml:space="preserve">.</w:t>
      </w:r>
      <w:bookmarkEnd w:id="35"/>
      <w:r/>
    </w:p>
    <w:p>
      <w:pPr>
        <w:pStyle w:val="709"/>
        <w:pBdr/>
        <w:spacing/>
        <w:ind/>
        <w:rPr/>
      </w:pPr>
      <w:r/>
      <w:bookmarkStart w:id="38" w:name="canopy-snowmelt-induced-unloading"/>
      <w:r>
        <w:t xml:space="preserve">3.1.3 Canopy snowmelt induced unloading</w:t>
      </w:r>
      <w:r/>
    </w:p>
    <w:p>
      <w:pPr>
        <w:pStyle w:val="805"/>
        <w:pBdr/>
        <w:spacing/>
        <w:ind/>
        <w:rPr/>
      </w:pPr>
      <w:r>
        <w:t xml:space="preserve">A mass balance approach was incorporated to determine the unloading rate resulting from canopy snowmelt (</w:t>
      </w:r>
      <m:oMath>
        <m:sSubSup>
          <m:sSubSupPr>
            <m:alnScr m:val="off"/>
            <m:ctrlPr/>
          </m:sSubSupPr>
          <m:e>
            <m:r>
              <m:rPr/>
              <m:t>q</m:t>
            </m:r>
          </m:e>
          <m:sub>
            <m:r>
              <m:rPr/>
              <m:t>u</m:t>
            </m:r>
            <m:r>
              <m:rPr/>
              <m:t>n</m:t>
            </m:r>
            <m:r>
              <m:rPr/>
              <m:t>l</m:t>
            </m:r>
            <m:r>
              <m:rPr/>
              <m:t>d</m:t>
            </m:r>
          </m:sub>
          <m:sup>
            <m:r>
              <m:rPr/>
              <m:t>m</m:t>
            </m:r>
            <m:r>
              <m:rPr/>
              <m:t>e</m:t>
            </m:r>
            <m:r>
              <m:rPr/>
              <m:t>l</m:t>
            </m:r>
            <m:r>
              <m:rPr/>
              <m:t>t</m:t>
            </m:r>
          </m:sup>
        </m:sSubSup>
      </m:oMath>
      <w:r>
        <w:t xml:space="preserve">, mm s</w:t>
      </w:r>
      <w:r>
        <w:rPr>
          <w:vertAlign w:val="superscript"/>
        </w:rPr>
        <w:t xml:space="preserve">-1</w:t>
      </w:r>
      <w:r>
        <w:t xml:space="preserve">). The influence of canopy snowmelt on</w:t>
      </w:r>
      <w:r>
        <w:t xml:space="preserve"> </w:t>
      </w:r>
      <m:oMath>
        <m:sSubSup>
          <m:sSubSupPr>
            <m:alnScr m:val="off"/>
            <m:ctrlPr/>
          </m:sSubSupPr>
          <m:e>
            <m:r>
              <m:rPr/>
              <m:t>q</m:t>
            </m:r>
          </m:e>
          <m:sub>
            <m:r>
              <m:rPr/>
              <m:t>u</m:t>
            </m:r>
            <m:r>
              <m:rPr/>
              <m:t>n</m:t>
            </m:r>
            <m:r>
              <m:rPr/>
              <m:t>l</m:t>
            </m:r>
            <m:r>
              <m:rPr/>
              <m:t>d</m:t>
            </m:r>
          </m:sub>
          <m:sup>
            <m:r>
              <m:rPr/>
              <m:t>m</m:t>
            </m:r>
            <m:r>
              <m:rPr/>
              <m:t>e</m:t>
            </m:r>
            <m:r>
              <m:rPr/>
              <m:t>l</m:t>
            </m:r>
            <m:r>
              <m:rPr/>
              <m:t>t</m:t>
            </m:r>
          </m:sup>
        </m:sSubSup>
      </m:oMath>
      <w:r>
        <w:t xml:space="preserve"> </w:t>
      </w:r>
      <w:r>
        <w:t xml:space="preserve">was then assessed by fitting a linear model using an ordinary least squares regression. Since direct measurements of canopy snow unloading are challenging to obtain independently from canopy snowmelt drainage</w:t>
      </w:r>
      <w:r>
        <w:t xml:space="preserve"> </w:t>
      </w:r>
      <w:r>
        <w:t xml:space="preserve">(Storck et al., 2002)</w:t>
      </w:r>
      <w:r>
        <w:t xml:space="preserve">, the following mass balance was incorporated to determine</w:t>
      </w:r>
      <w:r>
        <w:t xml:space="preserve"> </w:t>
      </w:r>
      <m:oMath>
        <m:sSubSup>
          <m:sSubSupPr>
            <m:alnScr m:val="off"/>
            <m:ctrlPr/>
          </m:sSubSupPr>
          <m:e>
            <m:r>
              <m:rPr/>
              <m:t>q</m:t>
            </m:r>
          </m:e>
          <m:sub>
            <m:r>
              <m:rPr/>
              <m:t>u</m:t>
            </m:r>
            <m:r>
              <m:rPr/>
              <m:t>n</m:t>
            </m:r>
            <m:r>
              <m:rPr/>
              <m:t>l</m:t>
            </m:r>
            <m:r>
              <m:rPr/>
              <m:t>d</m:t>
            </m:r>
          </m:sub>
          <m:sup>
            <m:r>
              <m:rPr/>
              <m:t>m</m:t>
            </m:r>
            <m:r>
              <m:rPr/>
              <m:t>e</m:t>
            </m:r>
            <m:r>
              <m:rPr/>
              <m:t>l</m:t>
            </m:r>
            <m:r>
              <m:rPr/>
              <m:t>t</m:t>
            </m:r>
          </m:sup>
        </m:sSubSup>
      </m:oMath>
      <w:r>
        <w:t xml:space="preserve"> </w:t>
      </w:r>
      <w:r>
        <w:t xml:space="preserve">as a residual:</w:t>
      </w:r>
      <w:r/>
    </w:p>
    <w:p>
      <w:pPr>
        <w:pStyle w:val="783"/>
        <w:pBdr/>
        <w:spacing/>
        <w:ind/>
        <w:rPr/>
      </w:pPr>
      <w:r/>
      <w:bookmarkStart w:id="36" w:name="eq-canopy-mass-bal"/>
      <w:r/>
      <m:oMathPara>
        <m:oMathParaPr>
          <m:jc m:val="center"/>
        </m:oMathParaPr>
        <m:oMath>
          <m:f>
            <m:fPr>
              <m:ctrlPr/>
            </m:fPr>
            <m:num>
              <m:r>
                <m:rPr/>
                <m:t>d</m:t>
              </m:r>
              <m:r>
                <m:rPr/>
                <m:t>L</m:t>
              </m:r>
            </m:num>
            <m:den>
              <m:r>
                <m:rPr/>
                <m:t>d</m:t>
              </m:r>
              <m:r>
                <m:rPr/>
                <m:t>t</m:t>
              </m:r>
            </m:den>
          </m:f>
          <m:r>
            <m:rPr>
              <m:sty m:val="p"/>
            </m:rPr>
            <m:t>=</m:t>
          </m:r>
          <m:d>
            <m:dPr>
              <m:begChr m:val="["/>
              <m:endChr m:val="]"/>
              <m:sepChr m:val=""/>
              <m:ctrlPr/>
            </m:dPr>
            <m:e>
              <m:sSub>
                <m:sSubPr>
                  <m:ctrlPr/>
                </m:sSubPr>
                <m:e>
                  <m:r>
                    <m:rPr/>
                    <m:t>q</m:t>
                  </m:r>
                </m:e>
                <m:sub>
                  <m:r>
                    <m:rPr/>
                    <m:t>s</m:t>
                  </m:r>
                  <m:r>
                    <m:rPr/>
                    <m:t>f</m:t>
                  </m:r>
                </m:sub>
              </m:sSub>
              <m:r>
                <m:rPr>
                  <m:sty m:val="p"/>
                </m:rPr>
                <m:t>−</m:t>
              </m:r>
              <m:sSub>
                <m:sSubPr>
                  <m:ctrlPr/>
                </m:sSubPr>
                <m:e>
                  <m:r>
                    <m:rPr/>
                    <m:t>q</m:t>
                  </m:r>
                </m:e>
                <m:sub>
                  <m:r>
                    <m:rPr/>
                    <m:t>t</m:t>
                  </m:r>
                  <m:r>
                    <m:rPr/>
                    <m:t>f</m:t>
                  </m:r>
                </m:sub>
              </m:sSub>
              <m:r>
                <m:rPr>
                  <m:sty m:val="p"/>
                </m:rPr>
                <m:t>+</m:t>
              </m:r>
              <m:sSub>
                <m:sSubPr>
                  <m:ctrlPr/>
                </m:sSubPr>
                <m:e>
                  <m:r>
                    <m:rPr/>
                    <m:t>q</m:t>
                  </m:r>
                </m:e>
                <m:sub>
                  <m:r>
                    <m:rPr/>
                    <m:t>r</m:t>
                  </m:r>
                  <m:r>
                    <m:rPr/>
                    <m:t>o</m:t>
                  </m:r>
                  <m:r>
                    <m:rPr/>
                    <m:t>s</m:t>
                  </m:r>
                </m:sub>
              </m:sSub>
            </m:e>
          </m:d>
          <m:r>
            <m:rPr>
              <m:sty m:val="p"/>
            </m:rPr>
            <m:t>−</m:t>
          </m:r>
          <m:d>
            <m:dPr>
              <m:begChr m:val="["/>
              <m:endChr m:val="]"/>
              <m:sepChr m:val=""/>
              <m:ctrlPr/>
            </m:dPr>
            <m:e>
              <m:sSubSup>
                <m:sSubSupPr>
                  <m:alnScr m:val="off"/>
                  <m:ctrlPr/>
                </m:sSubSupPr>
                <m:e>
                  <m:r>
                    <m:rPr/>
                    <m:t>q</m:t>
                  </m:r>
                </m:e>
                <m:sub>
                  <m:r>
                    <m:rPr/>
                    <m:t>u</m:t>
                  </m:r>
                  <m:r>
                    <m:rPr/>
                    <m:t>n</m:t>
                  </m:r>
                  <m:r>
                    <m:rPr/>
                    <m:t>l</m:t>
                  </m:r>
                  <m:r>
                    <m:rPr/>
                    <m:t>d</m:t>
                  </m:r>
                </m:sub>
                <m:sup>
                  <m:r>
                    <m:rPr/>
                    <m:t>m</m:t>
                  </m:r>
                  <m:r>
                    <m:rPr/>
                    <m:t>e</m:t>
                  </m:r>
                  <m:r>
                    <m:rPr/>
                    <m:t>l</m:t>
                  </m:r>
                  <m:r>
                    <m:rPr/>
                    <m:t>t</m:t>
                  </m:r>
                </m:sup>
              </m:sSubSup>
              <m:r>
                <m:rPr>
                  <m:sty m:val="p"/>
                </m:rPr>
                <m:t>+</m:t>
              </m:r>
              <m:sSubSup>
                <m:sSubSupPr>
                  <m:alnScr m:val="off"/>
                  <m:ctrlPr/>
                </m:sSubSupPr>
                <m:e>
                  <m:r>
                    <m:rPr/>
                    <m:t>q</m:t>
                  </m:r>
                </m:e>
                <m:sub>
                  <m:r>
                    <m:rPr/>
                    <m:t>u</m:t>
                  </m:r>
                  <m:r>
                    <m:rPr/>
                    <m:t>n</m:t>
                  </m:r>
                  <m:r>
                    <m:rPr/>
                    <m:t>l</m:t>
                  </m:r>
                  <m:r>
                    <m:rPr/>
                    <m:t>d</m:t>
                  </m:r>
                </m:sub>
                <m:sup>
                  <m:r>
                    <m:rPr/>
                    <m:t>w</m:t>
                  </m:r>
                  <m:r>
                    <m:rPr/>
                    <m:t>i</m:t>
                  </m:r>
                  <m:r>
                    <m:rPr/>
                    <m:t>n</m:t>
                  </m:r>
                  <m:r>
                    <m:rPr/>
                    <m:t>d</m:t>
                  </m:r>
                </m:sup>
              </m:sSubSup>
            </m:e>
          </m:d>
          <m:r>
            <m:rPr>
              <m:sty m:val="p"/>
            </m:rPr>
            <m:t>−</m:t>
          </m:r>
          <m:sSub>
            <m:sSubPr>
              <m:ctrlPr/>
            </m:sSubPr>
            <m:e>
              <m:r>
                <m:rPr/>
                <m:t>q</m:t>
              </m:r>
            </m:e>
            <m:sub>
              <m:r>
                <m:rPr/>
                <m:t>d</m:t>
              </m:r>
              <m:r>
                <m:rPr/>
                <m:t>r</m:t>
              </m:r>
              <m:r>
                <m:rPr/>
                <m:t>i</m:t>
              </m:r>
              <m:r>
                <m:rPr/>
                <m:t>p</m:t>
              </m:r>
            </m:sub>
          </m:sSub>
          <m:r>
            <m:rPr>
              <m:sty m:val="p"/>
            </m:rPr>
            <m:t>−</m:t>
          </m:r>
          <m:sSubSup>
            <m:sSubSupPr>
              <m:alnScr m:val="off"/>
              <m:ctrlPr/>
            </m:sSubSupPr>
            <m:e>
              <m:r>
                <m:rPr/>
                <m:t>q</m:t>
              </m:r>
            </m:e>
            <m:sub>
              <m:r>
                <m:rPr/>
                <m:t>w</m:t>
              </m:r>
              <m:r>
                <m:rPr/>
                <m:t>i</m:t>
              </m:r>
              <m:r>
                <m:rPr/>
                <m:t>n</m:t>
              </m:r>
              <m:r>
                <m:rPr/>
                <m:t>d</m:t>
              </m:r>
            </m:sub>
            <m:sup>
              <m:r>
                <m:rPr/>
                <m:t>v</m:t>
              </m:r>
              <m:r>
                <m:rPr/>
                <m:t>e</m:t>
              </m:r>
              <m:r>
                <m:rPr/>
                <m:t>g</m:t>
              </m:r>
            </m:sup>
          </m:sSubSup>
          <m:r>
            <m:rPr>
              <m:sty m:val="p"/>
            </m:rPr>
            <m:t>−</m:t>
          </m:r>
          <m:sSubSup>
            <m:sSubSupPr>
              <m:alnScr m:val="off"/>
              <m:ctrlPr/>
            </m:sSubSupPr>
            <m:e>
              <m:r>
                <m:rPr/>
                <m:t>q</m:t>
              </m:r>
            </m:e>
            <m:sub>
              <m:r>
                <m:rPr/>
                <m:t>s</m:t>
              </m:r>
              <m:r>
                <m:rPr/>
                <m:t>u</m:t>
              </m:r>
              <m:r>
                <m:rPr/>
                <m:t>b</m:t>
              </m:r>
            </m:sub>
            <m:sup>
              <m:r>
                <m:rPr/>
                <m:t>v</m:t>
              </m:r>
              <m:r>
                <m:rPr/>
                <m:t>e</m:t>
              </m:r>
              <m:r>
                <m:rPr/>
                <m:t>g</m:t>
              </m:r>
            </m:sup>
          </m:sSubSup>
          <m:r>
            <m:rPr/>
            <m:t>  </m:t>
          </m:r>
          <m:d>
            <m:dPr>
              <m:begChr m:val="("/>
              <m:endChr m:val=")"/>
              <m:sepChr m:val=""/>
              <m:ctrlPr/>
            </m:dPr>
            <m:e>
              <m:r>
                <m:rPr/>
                <m:t>1</m:t>
              </m:r>
            </m:e>
          </m:d>
        </m:oMath>
      </m:oMathPara>
      <w:r/>
      <w:bookmarkEnd w:id="36"/>
      <w:r/>
      <w:r/>
    </w:p>
    <w:p>
      <w:pPr>
        <w:pStyle w:val="805"/>
        <w:pBdr/>
        <w:spacing/>
        <w:ind/>
        <w:rPr/>
      </w:pPr>
      <w:r>
        <w:t xml:space="preserve">where</w:t>
      </w:r>
      <w:r>
        <w:t xml:space="preserve"> </w:t>
      </w:r>
      <m:oMath>
        <m:f>
          <m:fPr>
            <m:ctrlPr/>
          </m:fPr>
          <m:num>
            <m:r>
              <m:rPr/>
              <m:t>d</m:t>
            </m:r>
            <m:r>
              <m:rPr/>
              <m:t>L</m:t>
            </m:r>
          </m:num>
          <m:den>
            <m:r>
              <m:rPr/>
              <m:t>d</m:t>
            </m:r>
            <m:r>
              <m:rPr/>
              <m:t>t</m:t>
            </m:r>
          </m:den>
        </m:f>
      </m:oMath>
      <w:r>
        <w:t xml:space="preserve"> </w:t>
      </w:r>
      <w:r>
        <w:t xml:space="preserve">is the change in canopy snow load over time, (mm s</w:t>
      </w:r>
      <w:r>
        <w:rPr>
          <w:vertAlign w:val="superscript"/>
        </w:rPr>
        <w:t xml:space="preserve">-1</w:t>
      </w:r>
      <w:r>
        <w:t xml:space="preserve">),</w:t>
      </w:r>
      <w:r>
        <w:t xml:space="preserve"> </w:t>
      </w:r>
      <m:oMath>
        <m:sSub>
          <m:sSubPr>
            <m:ctrlPr/>
          </m:sSubPr>
          <m:e>
            <m:r>
              <m:rPr/>
              <m:t>q</m:t>
            </m:r>
          </m:e>
          <m:sub>
            <m:r>
              <m:rPr/>
              <m:t>s</m:t>
            </m:r>
            <m:r>
              <m:rPr/>
              <m:t>f</m:t>
            </m:r>
          </m:sub>
        </m:sSub>
      </m:oMath>
      <w:r>
        <w:t xml:space="preserve"> </w:t>
      </w:r>
      <w:r>
        <w:t xml:space="preserve">is the snowfall rate (mm s</w:t>
      </w:r>
      <w:r>
        <w:rPr>
          <w:vertAlign w:val="superscript"/>
        </w:rPr>
        <w:t xml:space="preserve">-1</w:t>
      </w:r>
      <w:r>
        <w:t xml:space="preserve">),</w:t>
      </w:r>
      <w:r>
        <w:t xml:space="preserve"> </w:t>
      </w:r>
      <m:oMath>
        <m:sSub>
          <m:sSubPr>
            <m:ctrlPr/>
          </m:sSubPr>
          <m:e>
            <m:r>
              <m:rPr/>
              <m:t>q</m:t>
            </m:r>
          </m:e>
          <m:sub>
            <m:r>
              <m:rPr/>
              <m:t>t</m:t>
            </m:r>
            <m:r>
              <m:rPr/>
              <m:t>f</m:t>
            </m:r>
          </m:sub>
        </m:sSub>
      </m:oMath>
      <w:r>
        <w:t xml:space="preserve"> </w:t>
      </w:r>
      <w:r>
        <w:t xml:space="preserve">(mm s</w:t>
      </w:r>
      <w:r>
        <w:rPr>
          <w:vertAlign w:val="superscript"/>
        </w:rPr>
        <w:t xml:space="preserve">-1</w:t>
      </w:r>
      <w:r>
        <w:t xml:space="preserve">) is the throughfall rate (mm s</w:t>
      </w:r>
      <w:r>
        <w:rPr>
          <w:vertAlign w:val="superscript"/>
        </w:rPr>
        <w:t xml:space="preserve">-1</w:t>
      </w:r>
      <w:r>
        <w:t xml:space="preserve">),</w:t>
      </w:r>
      <w:r>
        <w:t xml:space="preserve"> </w:t>
      </w:r>
      <m:oMath>
        <m:sSub>
          <m:sSubPr>
            <m:ctrlPr/>
          </m:sSubPr>
          <m:e>
            <m:r>
              <m:rPr/>
              <m:t>q</m:t>
            </m:r>
          </m:e>
          <m:sub>
            <m:r>
              <m:rPr/>
              <m:t>r</m:t>
            </m:r>
            <m:r>
              <m:rPr/>
              <m:t>o</m:t>
            </m:r>
            <m:r>
              <m:rPr/>
              <m:t>s</m:t>
            </m:r>
          </m:sub>
        </m:sSub>
      </m:oMath>
      <w:r>
        <w:t xml:space="preserve"> </w:t>
      </w:r>
      <w:r>
        <w:t xml:space="preserve">(mm s</w:t>
      </w:r>
      <w:r>
        <w:rPr>
          <w:vertAlign w:val="superscript"/>
        </w:rPr>
        <w:t xml:space="preserve">-1</w:t>
      </w:r>
      <w:r>
        <w:t xml:space="preserve">) is the rate of rainfall falling on snow intercepted in the canopy,</w:t>
      </w:r>
      <w:r>
        <w:t xml:space="preserve"> </w:t>
      </w:r>
      <m:oMath>
        <m:sSubSup>
          <m:sSubSupPr>
            <m:alnScr m:val="off"/>
            <m:ctrlPr/>
          </m:sSubSupPr>
          <m:e>
            <m:r>
              <m:rPr/>
              <m:t>q</m:t>
            </m:r>
          </m:e>
          <m:sub>
            <m:r>
              <m:rPr/>
              <m:t>u</m:t>
            </m:r>
            <m:r>
              <m:rPr/>
              <m:t>n</m:t>
            </m:r>
            <m:r>
              <m:rPr/>
              <m:t>l</m:t>
            </m:r>
            <m:r>
              <m:rPr/>
              <m:t>d</m:t>
            </m:r>
          </m:sub>
          <m:sup>
            <m:r>
              <m:rPr/>
              <m:t>m</m:t>
            </m:r>
            <m:r>
              <m:rPr/>
              <m:t>e</m:t>
            </m:r>
            <m:r>
              <m:rPr/>
              <m:t>l</m:t>
            </m:r>
            <m:r>
              <m:rPr/>
              <m:t>t</m:t>
            </m:r>
          </m:sup>
        </m:sSubSup>
      </m:oMath>
      <w:r>
        <w:t xml:space="preserve"> </w:t>
      </w:r>
      <w:r>
        <w:t xml:space="preserve">is the canopy snow unloading rate due to melt (mm s</w:t>
      </w:r>
      <w:r>
        <w:rPr>
          <w:vertAlign w:val="superscript"/>
        </w:rPr>
        <w:t xml:space="preserve">-1</w:t>
      </w:r>
      <w:r>
        <w:t xml:space="preserve">),</w:t>
      </w:r>
      <w:r>
        <w:t xml:space="preserve"> </w:t>
      </w:r>
      <m:oMath>
        <m:sSubSup>
          <m:sSubSupPr>
            <m:alnScr m:val="off"/>
            <m:ctrlPr/>
          </m:sSubSupPr>
          <m:e>
            <m:r>
              <m:rPr/>
              <m:t>q</m:t>
            </m:r>
          </m:e>
          <m:sub>
            <m:r>
              <m:rPr/>
              <m:t>u</m:t>
            </m:r>
            <m:r>
              <m:rPr/>
              <m:t>n</m:t>
            </m:r>
            <m:r>
              <m:rPr/>
              <m:t>l</m:t>
            </m:r>
            <m:r>
              <m:rPr/>
              <m:t>d</m:t>
            </m:r>
          </m:sub>
          <m:sup>
            <m:r>
              <m:rPr/>
              <m:t>w</m:t>
            </m:r>
            <m:r>
              <m:rPr/>
              <m:t>i</m:t>
            </m:r>
            <m:r>
              <m:rPr/>
              <m:t>n</m:t>
            </m:r>
            <m:r>
              <m:rPr/>
              <m:t>d</m:t>
            </m:r>
          </m:sup>
        </m:sSubSup>
      </m:oMath>
      <w:r>
        <w:t xml:space="preserve"> </w:t>
      </w:r>
      <w:r>
        <w:t xml:space="preserve">is the canopy snow unloading rate due to wind (mm s</w:t>
      </w:r>
      <w:r>
        <w:rPr>
          <w:vertAlign w:val="superscript"/>
        </w:rPr>
        <w:t xml:space="preserve">-1</w:t>
      </w:r>
      <w:r>
        <w:t xml:space="preserve">),</w:t>
      </w:r>
      <w:r>
        <w:t xml:space="preserve"> </w:t>
      </w:r>
      <m:oMath>
        <m:sSub>
          <m:sSubPr>
            <m:ctrlPr/>
          </m:sSubPr>
          <m:e>
            <m:r>
              <m:rPr/>
              <m:t>q</m:t>
            </m:r>
          </m:e>
          <m:sub>
            <m:r>
              <m:rPr/>
              <m:t>d</m:t>
            </m:r>
            <m:r>
              <m:rPr/>
              <m:t>r</m:t>
            </m:r>
            <m:r>
              <m:rPr/>
              <m:t>i</m:t>
            </m:r>
            <m:r>
              <m:rPr/>
              <m:t>p</m:t>
            </m:r>
          </m:sub>
        </m:sSub>
      </m:oMath>
      <w:r>
        <w:t xml:space="preserve"> </w:t>
      </w:r>
      <w:r>
        <w:t xml:space="preserve">is the canopy snow drip rate resulting from canopy snowmelt (mm s</w:t>
      </w:r>
      <w:r>
        <w:rPr>
          <w:vertAlign w:val="superscript"/>
        </w:rPr>
        <w:t xml:space="preserve">-1</w:t>
      </w:r>
      <w:r>
        <w:t xml:space="preserve">),</w:t>
      </w:r>
      <w:r>
        <w:t xml:space="preserve"> </w:t>
      </w:r>
      <m:oMath>
        <m:sSubSup>
          <m:sSubSupPr>
            <m:alnScr m:val="off"/>
            <m:ctrlPr/>
          </m:sSubSupPr>
          <m:e>
            <m:r>
              <m:rPr/>
              <m:t>q</m:t>
            </m:r>
          </m:e>
          <m:sub>
            <m:r>
              <m:rPr/>
              <m:t>w</m:t>
            </m:r>
            <m:r>
              <m:rPr/>
              <m:t>i</m:t>
            </m:r>
            <m:r>
              <m:rPr/>
              <m:t>n</m:t>
            </m:r>
            <m:r>
              <m:rPr/>
              <m:t>d</m:t>
            </m:r>
          </m:sub>
          <m:sup>
            <m:r>
              <m:rPr/>
              <m:t>v</m:t>
            </m:r>
            <m:r>
              <m:rPr/>
              <m:t>e</m:t>
            </m:r>
            <m:r>
              <m:rPr/>
              <m:t>g</m:t>
            </m:r>
          </m:sup>
        </m:sSubSup>
      </m:oMath>
      <w:r>
        <w:t xml:space="preserve"> </w:t>
      </w:r>
      <w:r>
        <w:t xml:space="preserve">is the wind transport rate in or out of the control volume (mm s</w:t>
      </w:r>
      <w:r>
        <w:rPr>
          <w:vertAlign w:val="superscript"/>
        </w:rPr>
        <w:t xml:space="preserve">-1</w:t>
      </w:r>
      <w:r>
        <w:t xml:space="preserve">), and</w:t>
      </w:r>
      <w:r>
        <w:t xml:space="preserve"> </w:t>
      </w:r>
      <m:oMath>
        <m:sSubSup>
          <m:sSubSupPr>
            <m:alnScr m:val="off"/>
            <m:ctrlPr/>
          </m:sSubSupPr>
          <m:e>
            <m:r>
              <m:rPr/>
              <m:t>q</m:t>
            </m:r>
          </m:e>
          <m:sub>
            <m:r>
              <m:rPr/>
              <m:t>s</m:t>
            </m:r>
            <m:r>
              <m:rPr/>
              <m:t>u</m:t>
            </m:r>
            <m:r>
              <m:rPr/>
              <m:t>b</m:t>
            </m:r>
          </m:sub>
          <m:sup>
            <m:r>
              <m:rPr/>
              <m:t>v</m:t>
            </m:r>
            <m:r>
              <m:rPr/>
              <m:t>e</m:t>
            </m:r>
            <m:r>
              <m:rPr/>
              <m:t>g</m:t>
            </m:r>
          </m:sup>
        </m:sSubSup>
      </m:oMath>
      <w:r>
        <w:t xml:space="preserve"> </w:t>
      </w:r>
      <w:r>
        <w:t xml:space="preserve">is the intercepted snow sublimation rate (mm s</w:t>
      </w:r>
      <w:r>
        <w:rPr>
          <w:vertAlign w:val="superscript"/>
        </w:rPr>
        <w:t xml:space="preserve">-1</w:t>
      </w:r>
      <w:r>
        <w:t xml:space="preserve">). Figure 1 in</w:t>
      </w:r>
      <w:r>
        <w:t xml:space="preserve"> </w:t>
      </w:r>
      <w:r>
        <w:t xml:space="preserve">Cebulski &amp; Pomeroy (2025b)</w:t>
      </w:r>
      <w:r>
        <w:t xml:space="preserve"> </w:t>
      </w:r>
      <w:r>
        <w:t xml:space="preserve">presents a visual representation of this mass balance.</w:t>
      </w:r>
      <w:r/>
    </w:p>
    <w:p>
      <w:pPr>
        <w:pStyle w:val="783"/>
        <w:pBdr/>
        <w:spacing/>
        <w:ind/>
        <w:rPr/>
      </w:pPr>
      <w:r>
        <w:t xml:space="preserve">Then Equation 1 was rearranged to solve for</w:t>
      </w:r>
      <w:r>
        <w:t xml:space="preserve"> </w:t>
      </w:r>
      <m:oMath>
        <m:sSubSup>
          <m:sSubSupPr>
            <m:alnScr m:val="off"/>
            <m:ctrlPr/>
          </m:sSubSupPr>
          <m:e>
            <m:r>
              <m:rPr/>
              <m:t>q</m:t>
            </m:r>
          </m:e>
          <m:sub>
            <m:r>
              <m:rPr/>
              <m:t>u</m:t>
            </m:r>
            <m:r>
              <m:rPr/>
              <m:t>n</m:t>
            </m:r>
            <m:r>
              <m:rPr/>
              <m:t>l</m:t>
            </m:r>
            <m:r>
              <m:rPr/>
              <m:t>d</m:t>
            </m:r>
          </m:sub>
          <m:sup>
            <m:r>
              <m:rPr/>
              <m:t>m</m:t>
            </m:r>
            <m:r>
              <m:rPr/>
              <m:t>e</m:t>
            </m:r>
            <m:r>
              <m:rPr/>
              <m:t>l</m:t>
            </m:r>
            <m:r>
              <m:rPr/>
              <m:t>t</m:t>
            </m:r>
          </m:sup>
        </m:sSubSup>
      </m:oMath>
      <w:r>
        <w:t xml:space="preserve"> </w:t>
      </w:r>
      <w:r>
        <w:t xml:space="preserve">during intervals without</w:t>
      </w:r>
      <w:r>
        <w:t xml:space="preserve"> </w:t>
      </w:r>
      <m:oMath>
        <m:d>
          <m:dPr>
            <m:begChr m:val="["/>
            <m:endChr m:val="]"/>
            <m:sepChr m:val=""/>
            <m:ctrlPr/>
          </m:dPr>
          <m:e>
            <m:sSub>
              <m:sSubPr>
                <m:ctrlPr/>
              </m:sSubPr>
              <m:e>
                <m:r>
                  <m:rPr/>
                  <m:t>q</m:t>
                </m:r>
              </m:e>
              <m:sub>
                <m:r>
                  <m:rPr/>
                  <m:t>s</m:t>
                </m:r>
                <m:r>
                  <m:rPr/>
                  <m:t>f</m:t>
                </m:r>
              </m:sub>
            </m:sSub>
            <m:r>
              <m:rPr>
                <m:sty m:val="p"/>
              </m:rPr>
              <m:t>−</m:t>
            </m:r>
            <m:sSub>
              <m:sSubPr>
                <m:ctrlPr/>
              </m:sSubPr>
              <m:e>
                <m:r>
                  <m:rPr/>
                  <m:t>q</m:t>
                </m:r>
              </m:e>
              <m:sub>
                <m:r>
                  <m:rPr/>
                  <m:t>t</m:t>
                </m:r>
                <m:r>
                  <m:rPr/>
                  <m:t>f</m:t>
                </m:r>
              </m:sub>
            </m:sSub>
            <m:r>
              <m:rPr>
                <m:sty m:val="p"/>
              </m:rPr>
              <m:t>+</m:t>
            </m:r>
            <m:sSub>
              <m:sSubPr>
                <m:ctrlPr/>
              </m:sSubPr>
              <m:e>
                <m:r>
                  <m:rPr/>
                  <m:t>q</m:t>
                </m:r>
              </m:e>
              <m:sub>
                <m:r>
                  <m:rPr/>
                  <m:t>r</m:t>
                </m:r>
                <m:r>
                  <m:rPr/>
                  <m:t>o</m:t>
                </m:r>
                <m:r>
                  <m:rPr/>
                  <m:t>s</m:t>
                </m:r>
              </m:sub>
            </m:sSub>
          </m:e>
        </m:d>
      </m:oMath>
      <w:r>
        <w:t xml:space="preserve"> </w:t>
      </w:r>
      <w:r>
        <w:t xml:space="preserve">or</w:t>
      </w:r>
      <w:r>
        <w:t xml:space="preserve"> </w:t>
      </w:r>
      <m:oMath>
        <m:sSubSup>
          <m:sSubSupPr>
            <m:alnScr m:val="off"/>
            <m:ctrlPr/>
          </m:sSubSupPr>
          <m:e>
            <m:r>
              <m:rPr/>
              <m:t>q</m:t>
            </m:r>
          </m:e>
          <m:sub>
            <m:r>
              <m:rPr/>
              <m:t>w</m:t>
            </m:r>
            <m:r>
              <m:rPr/>
              <m:t>i</m:t>
            </m:r>
            <m:r>
              <m:rPr/>
              <m:t>n</m:t>
            </m:r>
            <m:r>
              <m:rPr/>
              <m:t>d</m:t>
            </m:r>
          </m:sub>
          <m:sup>
            <m:r>
              <m:rPr/>
              <m:t>v</m:t>
            </m:r>
            <m:r>
              <m:rPr/>
              <m:t>e</m:t>
            </m:r>
            <m:r>
              <m:rPr/>
              <m:t>g</m:t>
            </m:r>
          </m:sup>
        </m:sSubSup>
      </m:oMath>
      <w:r>
        <w:t xml:space="preserve"> </w:t>
      </w:r>
      <w:r>
        <w:t xml:space="preserve">as:</w:t>
      </w:r>
      <w:r/>
    </w:p>
    <w:p>
      <w:pPr>
        <w:pStyle w:val="783"/>
        <w:pBdr/>
        <w:spacing/>
        <w:ind/>
        <w:rPr/>
      </w:pPr>
      <w:r/>
      <w:bookmarkStart w:id="37" w:name="eq-unld-melt-mass-bal"/>
      <w:r/>
      <m:oMathPara>
        <m:oMathParaPr>
          <m:jc m:val="center"/>
        </m:oMathParaPr>
        <m:oMath>
          <m:sSubSup>
            <m:sSubSupPr>
              <m:alnScr m:val="off"/>
              <m:ctrlPr/>
            </m:sSubSupPr>
            <m:e>
              <m:r>
                <m:rPr/>
                <m:t>q</m:t>
              </m:r>
            </m:e>
            <m:sub>
              <m:r>
                <m:rPr/>
                <m:t>u</m:t>
              </m:r>
              <m:r>
                <m:rPr/>
                <m:t>n</m:t>
              </m:r>
              <m:r>
                <m:rPr/>
                <m:t>l</m:t>
              </m:r>
              <m:r>
                <m:rPr/>
                <m:t>d</m:t>
              </m:r>
            </m:sub>
            <m:sup>
              <m:r>
                <m:rPr/>
                <m:t>m</m:t>
              </m:r>
              <m:r>
                <m:rPr/>
                <m:t>e</m:t>
              </m:r>
              <m:r>
                <m:rPr/>
                <m:t>l</m:t>
              </m:r>
              <m:r>
                <m:rPr/>
                <m:t>t</m:t>
              </m:r>
            </m:sup>
          </m:sSubSup>
          <m:r>
            <m:rPr>
              <m:sty m:val="p"/>
            </m:rPr>
            <m:t>=</m:t>
          </m:r>
          <m:r>
            <m:rPr>
              <m:sty m:val="p"/>
            </m:rPr>
            <m:t>−</m:t>
          </m:r>
          <m:f>
            <m:fPr>
              <m:ctrlPr/>
            </m:fPr>
            <m:num>
              <m:r>
                <m:rPr/>
                <m:t>d</m:t>
              </m:r>
              <m:r>
                <m:rPr/>
                <m:t>L</m:t>
              </m:r>
            </m:num>
            <m:den>
              <m:r>
                <m:rPr/>
                <m:t>d</m:t>
              </m:r>
              <m:r>
                <m:rPr/>
                <m:t>t</m:t>
              </m:r>
            </m:den>
          </m:f>
          <m:r>
            <m:rPr>
              <m:sty m:val="p"/>
            </m:rPr>
            <m:t>−</m:t>
          </m:r>
          <m:sSub>
            <m:sSubPr>
              <m:ctrlPr/>
            </m:sSubPr>
            <m:e>
              <m:r>
                <m:rPr/>
                <m:t>q</m:t>
              </m:r>
            </m:e>
            <m:sub>
              <m:r>
                <m:rPr/>
                <m:t>d</m:t>
              </m:r>
              <m:r>
                <m:rPr/>
                <m:t>r</m:t>
              </m:r>
              <m:r>
                <m:rPr/>
                <m:t>i</m:t>
              </m:r>
              <m:r>
                <m:rPr/>
                <m:t>p</m:t>
              </m:r>
            </m:sub>
          </m:sSub>
          <m:r>
            <m:rPr>
              <m:sty m:val="p"/>
            </m:rPr>
            <m:t>−</m:t>
          </m:r>
          <m:sSubSup>
            <m:sSubSupPr>
              <m:alnScr m:val="off"/>
              <m:ctrlPr/>
            </m:sSubSupPr>
            <m:e>
              <m:r>
                <m:rPr/>
                <m:t>q</m:t>
              </m:r>
            </m:e>
            <m:sub>
              <m:r>
                <m:rPr/>
                <m:t>u</m:t>
              </m:r>
              <m:r>
                <m:rPr/>
                <m:t>n</m:t>
              </m:r>
              <m:r>
                <m:rPr/>
                <m:t>l</m:t>
              </m:r>
              <m:r>
                <m:rPr/>
                <m:t>d</m:t>
              </m:r>
            </m:sub>
            <m:sup>
              <m:r>
                <m:rPr/>
                <m:t>w</m:t>
              </m:r>
              <m:r>
                <m:rPr/>
                <m:t>i</m:t>
              </m:r>
              <m:r>
                <m:rPr/>
                <m:t>n</m:t>
              </m:r>
              <m:r>
                <m:rPr/>
                <m:t>d</m:t>
              </m:r>
            </m:sup>
          </m:sSubSup>
          <m:r>
            <m:rPr>
              <m:sty m:val="p"/>
            </m:rPr>
            <m:t>−</m:t>
          </m:r>
          <m:sSubSup>
            <m:sSubSupPr>
              <m:alnScr m:val="off"/>
              <m:ctrlPr/>
            </m:sSubSupPr>
            <m:e>
              <m:r>
                <m:rPr/>
                <m:t>q</m:t>
              </m:r>
            </m:e>
            <m:sub>
              <m:r>
                <m:rPr/>
                <m:t>s</m:t>
              </m:r>
              <m:r>
                <m:rPr/>
                <m:t>u</m:t>
              </m:r>
              <m:r>
                <m:rPr/>
                <m:t>b</m:t>
              </m:r>
            </m:sub>
            <m:sup>
              <m:r>
                <m:rPr/>
                <m:t>v</m:t>
              </m:r>
              <m:r>
                <m:rPr/>
                <m:t>e</m:t>
              </m:r>
              <m:r>
                <m:rPr/>
                <m:t>g</m:t>
              </m:r>
            </m:sup>
          </m:sSubSup>
          <m:r>
            <m:rPr/>
            <m:t>  </m:t>
          </m:r>
          <m:d>
            <m:dPr>
              <m:begChr m:val="("/>
              <m:endChr m:val=")"/>
              <m:sepChr m:val=""/>
              <m:ctrlPr/>
            </m:dPr>
            <m:e>
              <m:r>
                <m:rPr/>
                <m:t>2</m:t>
              </m:r>
            </m:e>
          </m:d>
        </m:oMath>
      </m:oMathPara>
      <w:r/>
      <w:bookmarkEnd w:id="37"/>
      <w:r/>
      <w:r/>
    </w:p>
    <w:p>
      <w:pPr>
        <w:pStyle w:val="805"/>
        <w:pBdr/>
        <w:spacing/>
        <w:ind/>
        <w:rPr/>
      </w:pPr>
      <w:r>
        <w:t xml:space="preserve">While some components of the canopy snow mass balance can be measured directly with relative ease, such as</w:t>
      </w:r>
      <w:r>
        <w:t xml:space="preserve"> </w:t>
      </w:r>
      <m:oMath>
        <m:f>
          <m:fPr>
            <m:ctrlPr/>
          </m:fPr>
          <m:num>
            <m:r>
              <m:rPr/>
              <m:t>Δ</m:t>
            </m:r>
            <m:r>
              <m:rPr/>
              <m:t>L</m:t>
            </m:r>
          </m:num>
          <m:den>
            <m:r>
              <m:rPr/>
              <m:t>Δ</m:t>
            </m:r>
            <m:r>
              <m:rPr/>
              <m:t>t</m:t>
            </m:r>
          </m:den>
        </m:f>
      </m:oMath>
      <w:r>
        <w:t xml:space="preserve"> </w:t>
      </w:r>
      <w:r>
        <w:t xml:space="preserve">with the weighed tree, sublimation of canopy snow is more difficult to quantify directly especially in forested mountain environments</w:t>
      </w:r>
      <w:r>
        <w:t xml:space="preserve"> </w:t>
      </w:r>
      <w:r>
        <w:t xml:space="preserve">(Conway et al., 2018; Helgason &amp; Pomeroy, 2012b)</w:t>
      </w:r>
      <w:r>
        <w:t xml:space="preserve"> </w:t>
      </w:r>
      <w:r>
        <w:t xml:space="preserve">and thus</w:t>
      </w:r>
      <w:r>
        <w:t xml:space="preserve"> </w:t>
      </w:r>
      <m:oMath>
        <m:sSubSup>
          <m:sSubSupPr>
            <m:alnScr m:val="off"/>
            <m:ctrlPr/>
          </m:sSubSupPr>
          <m:e>
            <m:r>
              <m:rPr/>
              <m:t>q</m:t>
            </m:r>
          </m:e>
          <m:sub>
            <m:r>
              <m:rPr/>
              <m:t>s</m:t>
            </m:r>
            <m:r>
              <m:rPr/>
              <m:t>u</m:t>
            </m:r>
            <m:r>
              <m:rPr/>
              <m:t>b</m:t>
            </m:r>
          </m:sub>
          <m:sup>
            <m:r>
              <m:rPr/>
              <m:t>v</m:t>
            </m:r>
            <m:r>
              <m:rPr/>
              <m:t>e</m:t>
            </m:r>
            <m:r>
              <m:rPr/>
              <m:t>g</m:t>
            </m:r>
          </m:sup>
        </m:sSubSup>
      </m:oMath>
      <w:r>
        <w:t xml:space="preserve"> </w:t>
      </w:r>
      <w:r>
        <w:t xml:space="preserve">was simulated in this study in CRHM using Equation 10 as described in</w:t>
      </w:r>
      <w:r>
        <w:t xml:space="preserve"> </w:t>
      </w:r>
      <w:r>
        <w:t xml:space="preserve">Essery et al. (2003)</w:t>
      </w:r>
      <w:r>
        <w:t xml:space="preserve">.</w:t>
      </w:r>
      <w:r>
        <w:t xml:space="preserve"> </w:t>
      </w:r>
      <m:oMath>
        <m:sSub>
          <m:sSubPr>
            <m:ctrlPr/>
          </m:sSubPr>
          <m:e>
            <m:r>
              <m:rPr/>
              <m:t>q</m:t>
            </m:r>
          </m:e>
          <m:sub>
            <m:r>
              <m:rPr/>
              <m:t>d</m:t>
            </m:r>
            <m:r>
              <m:rPr/>
              <m:t>r</m:t>
            </m:r>
            <m:r>
              <m:rPr/>
              <m:t>i</m:t>
            </m:r>
            <m:r>
              <m:rPr/>
              <m:t>p</m:t>
            </m:r>
          </m:sub>
        </m:sSub>
      </m:oMath>
      <w:r>
        <w:t xml:space="preserve"> </w:t>
      </w:r>
      <w:r>
        <w:t xml:space="preserve">was measured where possible using the tipping buckets, however problems with freezing of liquid water in the devices limited the amount of</w:t>
      </w:r>
      <w:r>
        <w:t xml:space="preserve"> </w:t>
      </w:r>
      <m:oMath>
        <m:sSub>
          <m:sSubPr>
            <m:ctrlPr/>
          </m:sSubPr>
          <m:e>
            <m:r>
              <m:rPr/>
              <m:t>q</m:t>
            </m:r>
          </m:e>
          <m:sub>
            <m:r>
              <m:rPr/>
              <m:t>d</m:t>
            </m:r>
            <m:r>
              <m:rPr/>
              <m:t>r</m:t>
            </m:r>
            <m:r>
              <m:rPr/>
              <m:t>i</m:t>
            </m:r>
            <m:r>
              <m:rPr/>
              <m:t>p</m:t>
            </m:r>
          </m:sub>
        </m:sSub>
      </m:oMath>
      <w:r>
        <w:t xml:space="preserve"> </w:t>
      </w:r>
      <w:r>
        <w:t xml:space="preserve">that could be collected. Thus,</w:t>
      </w:r>
      <w:r>
        <w:t xml:space="preserve"> </w:t>
      </w:r>
      <m:oMath>
        <m:sSub>
          <m:sSubPr>
            <m:ctrlPr/>
          </m:sSubPr>
          <m:e>
            <m:r>
              <m:rPr/>
              <m:t>q</m:t>
            </m:r>
          </m:e>
          <m:sub>
            <m:r>
              <m:rPr/>
              <m:t>d</m:t>
            </m:r>
            <m:r>
              <m:rPr/>
              <m:t>r</m:t>
            </m:r>
            <m:r>
              <m:rPr/>
              <m:t>i</m:t>
            </m:r>
            <m:r>
              <m:rPr/>
              <m:t>p</m:t>
            </m:r>
          </m:sub>
        </m:sSub>
      </m:oMath>
      <w:r>
        <w:t xml:space="preserve"> </w:t>
      </w:r>
      <w:r>
        <w:t xml:space="preserve">was also supplemented with simulated canopy snowmelt (</w:t>
      </w:r>
      <m:oMath>
        <m:sSub>
          <m:sSubPr>
            <m:ctrlPr/>
          </m:sSubPr>
          <m:e>
            <m:r>
              <m:rPr/>
              <m:t>q</m:t>
            </m:r>
          </m:e>
          <m:sub>
            <m:r>
              <m:rPr/>
              <m:t>m</m:t>
            </m:r>
            <m:r>
              <m:rPr/>
              <m:t>e</m:t>
            </m:r>
            <m:r>
              <m:rPr/>
              <m:t>l</m:t>
            </m:r>
            <m:r>
              <m:rPr/>
              <m:t>t</m:t>
            </m:r>
          </m:sub>
        </m:sSub>
      </m:oMath>
      <w:r>
        <w:t xml:space="preserve">) in CRHM as in Equation 3. Canopy snow ablation periods that were dominated by melt were selected for calculating</w:t>
      </w:r>
      <w:r>
        <w:t xml:space="preserve"> </w:t>
      </w:r>
      <m:oMath>
        <m:sSubSup>
          <m:sSubSupPr>
            <m:alnScr m:val="off"/>
            <m:ctrlPr/>
          </m:sSubSupPr>
          <m:e>
            <m:r>
              <m:rPr/>
              <m:t>q</m:t>
            </m:r>
          </m:e>
          <m:sub>
            <m:r>
              <m:rPr/>
              <m:t>u</m:t>
            </m:r>
            <m:r>
              <m:rPr/>
              <m:t>n</m:t>
            </m:r>
            <m:r>
              <m:rPr/>
              <m:t>l</m:t>
            </m:r>
            <m:r>
              <m:rPr/>
              <m:t>d</m:t>
            </m:r>
          </m:sub>
          <m:sup>
            <m:r>
              <m:rPr/>
              <m:t>m</m:t>
            </m:r>
            <m:r>
              <m:rPr/>
              <m:t>e</m:t>
            </m:r>
            <m:r>
              <m:rPr/>
              <m:t>l</m:t>
            </m:r>
            <m:r>
              <m:rPr/>
              <m:t>t</m:t>
            </m:r>
          </m:sup>
        </m:sSubSup>
      </m:oMath>
      <w:r>
        <w:t xml:space="preserve"> </w:t>
      </w:r>
      <w:r>
        <w:t xml:space="preserve">where the contribution of</w:t>
      </w:r>
      <w:r>
        <w:t xml:space="preserve"> </w:t>
      </w:r>
      <m:oMath>
        <m:sSubSup>
          <m:sSubSupPr>
            <m:alnScr m:val="off"/>
            <m:ctrlPr/>
          </m:sSubSupPr>
          <m:e>
            <m:r>
              <m:rPr/>
              <m:t>q</m:t>
            </m:r>
          </m:e>
          <m:sub>
            <m:r>
              <m:rPr/>
              <m:t>u</m:t>
            </m:r>
            <m:r>
              <m:rPr/>
              <m:t>n</m:t>
            </m:r>
            <m:r>
              <m:rPr/>
              <m:t>l</m:t>
            </m:r>
            <m:r>
              <m:rPr/>
              <m:t>d</m:t>
            </m:r>
          </m:sub>
          <m:sup>
            <m:r>
              <m:rPr/>
              <m:t>w</m:t>
            </m:r>
            <m:r>
              <m:rPr/>
              <m:t>i</m:t>
            </m:r>
            <m:r>
              <m:rPr/>
              <m:t>n</m:t>
            </m:r>
            <m:r>
              <m:rPr/>
              <m:t>d</m:t>
            </m:r>
          </m:sup>
        </m:sSubSup>
      </m:oMath>
      <w:r>
        <w:t xml:space="preserve"> </w:t>
      </w:r>
      <w:r>
        <w:t xml:space="preserve">and</w:t>
      </w:r>
      <w:r>
        <w:t xml:space="preserve"> </w:t>
      </w:r>
      <m:oMath>
        <m:sSubSup>
          <m:sSubSupPr>
            <m:alnScr m:val="off"/>
            <m:ctrlPr/>
          </m:sSubSupPr>
          <m:e>
            <m:r>
              <m:rPr/>
              <m:t>q</m:t>
            </m:r>
          </m:e>
          <m:sub>
            <m:r>
              <m:rPr/>
              <m:t>s</m:t>
            </m:r>
            <m:r>
              <m:rPr/>
              <m:t>u</m:t>
            </m:r>
            <m:r>
              <m:rPr/>
              <m:t>b</m:t>
            </m:r>
          </m:sub>
          <m:sup>
            <m:r>
              <m:rPr/>
              <m:t>v</m:t>
            </m:r>
            <m:r>
              <m:rPr/>
              <m:t>e</m:t>
            </m:r>
            <m:r>
              <m:rPr/>
              <m:t>g</m:t>
            </m:r>
          </m:sup>
        </m:sSubSup>
      </m:oMath>
      <w:r>
        <w:t xml:space="preserve"> </w:t>
      </w:r>
      <w:r>
        <w:t xml:space="preserve">to canopy snow ablation was less than 5%.</w:t>
      </w:r>
      <w:bookmarkEnd w:id="38"/>
      <w:bookmarkEnd w:id="39"/>
      <w:bookmarkEnd w:id="40"/>
      <w:r/>
    </w:p>
    <w:p>
      <w:pPr>
        <w:pStyle w:val="707"/>
        <w:pBdr/>
        <w:spacing/>
        <w:ind/>
        <w:rPr/>
      </w:pPr>
      <w:r/>
      <w:bookmarkStart w:id="49" w:name="canopy-snow-energy-balance"/>
      <w:r>
        <w:t xml:space="preserve">4. Canopy Snow Energy Balance</w:t>
      </w:r>
      <w:r/>
    </w:p>
    <w:p>
      <w:pPr>
        <w:pStyle w:val="805"/>
        <w:pBdr/>
        <w:spacing/>
        <w:ind/>
        <w:rPr/>
      </w:pPr>
      <w:r>
        <w:t xml:space="preserve">The energy available for melting snow intercepted in the canopy,</w:t>
      </w:r>
      <w:r>
        <w:t xml:space="preserve"> </w:t>
      </w:r>
      <m:oMath>
        <m:sSub>
          <m:sSubPr>
            <m:ctrlPr/>
          </m:sSubPr>
          <m:e>
            <m:r>
              <m:rPr/>
              <m:t>Q</m:t>
            </m:r>
          </m:e>
          <m:sub>
            <m:r>
              <m:rPr/>
              <m:t>m</m:t>
            </m:r>
            <m:r>
              <m:rPr/>
              <m:t>e</m:t>
            </m:r>
            <m:r>
              <m:rPr/>
              <m:t>l</m:t>
            </m:r>
            <m:r>
              <m:rPr/>
              <m:t>t</m:t>
            </m:r>
          </m:sub>
        </m:sSub>
      </m:oMath>
      <w:r>
        <w:t xml:space="preserve"> </w:t>
      </w:r>
      <w:r>
        <w:t xml:space="preserve">(W m</w:t>
      </w:r>
      <w:r>
        <w:rPr>
          <w:vertAlign w:val="superscript"/>
        </w:rPr>
        <w:t xml:space="preserve">-2</w:t>
      </w:r>
      <w:r>
        <w:t xml:space="preserve">), which is a function of the canopy snow load (</w:t>
      </w:r>
      <m:oMath>
        <m:r>
          <m:rPr/>
          <m:t>L</m:t>
        </m:r>
      </m:oMath>
      <w:r>
        <w:t xml:space="preserve">) was calculated as:</w:t>
      </w:r>
      <w:r/>
    </w:p>
    <w:p>
      <w:pPr>
        <w:pStyle w:val="783"/>
        <w:pBdr/>
        <w:spacing/>
        <w:ind/>
        <w:rPr/>
      </w:pPr>
      <w:r/>
      <w:bookmarkStart w:id="41" w:name="eq-eb"/>
      <w:r/>
      <m:oMathPara>
        <m:oMathParaPr>
          <m:jc m:val="center"/>
        </m:oMathParaPr>
        <m:oMath>
          <m:sSub>
            <m:sSubPr>
              <m:ctrlPr/>
            </m:sSubPr>
            <m:e>
              <m:r>
                <m:rPr/>
                <m:t>Q</m:t>
              </m:r>
            </m:e>
            <m:sub>
              <m:r>
                <m:rPr/>
                <m:t>m</m:t>
              </m:r>
              <m:r>
                <m:rPr/>
                <m:t>e</m:t>
              </m:r>
              <m:r>
                <m:rPr/>
                <m:t>l</m:t>
              </m:r>
              <m:r>
                <m:rPr/>
                <m:t>t</m:t>
              </m:r>
            </m:sub>
          </m:sSub>
          <m:d>
            <m:dPr>
              <m:begChr m:val="("/>
              <m:endChr m:val=")"/>
              <m:sepChr m:val=""/>
              <m:ctrlPr/>
            </m:dPr>
            <m:e>
              <m:r>
                <m:rPr/>
                <m:t>L</m:t>
              </m:r>
            </m:e>
          </m:d>
          <m:r>
            <m:rPr>
              <m:sty m:val="p"/>
            </m:rPr>
            <m:t>=</m:t>
          </m:r>
          <m:sSub>
            <m:sSubPr>
              <m:ctrlPr/>
            </m:sSubPr>
            <m:e>
              <m:r>
                <m:rPr/>
                <m:t>Q</m:t>
              </m:r>
            </m:e>
            <m:sub>
              <m:r>
                <m:rPr/>
                <m:t>s</m:t>
              </m:r>
              <m:r>
                <m:rPr/>
                <m:t>w</m:t>
              </m:r>
            </m:sub>
          </m:sSub>
          <m:r>
            <m:rPr>
              <m:sty m:val="p"/>
            </m:rPr>
            <m:t>+</m:t>
          </m:r>
          <m:sSub>
            <m:sSubPr>
              <m:ctrlPr/>
            </m:sSubPr>
            <m:e>
              <m:r>
                <m:rPr/>
                <m:t>Q</m:t>
              </m:r>
            </m:e>
            <m:sub>
              <m:r>
                <m:rPr/>
                <m:t>l</m:t>
              </m:r>
              <m:r>
                <m:rPr/>
                <m:t>w</m:t>
              </m:r>
            </m:sub>
          </m:sSub>
          <m:r>
            <m:rPr>
              <m:sty m:val="p"/>
            </m:rPr>
            <m:t>+</m:t>
          </m:r>
          <m:sSub>
            <m:sSubPr>
              <m:ctrlPr/>
            </m:sSubPr>
            <m:e>
              <m:r>
                <m:rPr/>
                <m:t>Q</m:t>
              </m:r>
            </m:e>
            <m:sub>
              <m:r>
                <m:rPr/>
                <m:t>p</m:t>
              </m:r>
            </m:sub>
          </m:sSub>
          <m:r>
            <m:rPr>
              <m:sty m:val="p"/>
            </m:rPr>
            <m:t>+</m:t>
          </m:r>
          <m:sSub>
            <m:sSubPr>
              <m:ctrlPr/>
            </m:sSubPr>
            <m:e>
              <m:r>
                <m:rPr/>
                <m:t>Q</m:t>
              </m:r>
            </m:e>
            <m:sub>
              <m:r>
                <m:rPr/>
                <m:t>h</m:t>
              </m:r>
            </m:sub>
          </m:sSub>
          <m:r>
            <m:rPr>
              <m:sty m:val="p"/>
            </m:rPr>
            <m:t>+</m:t>
          </m:r>
          <m:sSub>
            <m:sSubPr>
              <m:ctrlPr/>
            </m:sSubPr>
            <m:e>
              <m:r>
                <m:rPr/>
                <m:t>Q</m:t>
              </m:r>
            </m:e>
            <m:sub>
              <m:r>
                <m:rPr/>
                <m:t>l</m:t>
              </m:r>
            </m:sub>
          </m:sSub>
          <m:r>
            <m:rPr>
              <m:sty m:val="p"/>
            </m:rPr>
            <m:t>−</m:t>
          </m:r>
          <m:d>
            <m:dPr>
              <m:begChr m:val="["/>
              <m:endChr m:val="]"/>
              <m:sepChr m:val=""/>
              <m:ctrlPr/>
            </m:dPr>
            <m:e>
              <m:sSubSup>
                <m:sSubSupPr>
                  <m:alnScr m:val="off"/>
                  <m:ctrlPr/>
                </m:sSubSupPr>
                <m:e>
                  <m:r>
                    <m:rPr/>
                    <m:t>C</m:t>
                  </m:r>
                </m:e>
                <m:sub>
                  <m:r>
                    <m:rPr/>
                    <m:t>p</m:t>
                  </m:r>
                </m:sub>
                <m:sup>
                  <m:r>
                    <m:rPr/>
                    <m:t>i</m:t>
                  </m:r>
                  <m:r>
                    <m:rPr/>
                    <m:t>c</m:t>
                  </m:r>
                  <m:r>
                    <m:rPr/>
                    <m:t>e</m:t>
                  </m:r>
                </m:sup>
              </m:sSubSup>
              <m:r>
                <m:rPr/>
                <m:t>L</m:t>
              </m:r>
              <m:f>
                <m:fPr>
                  <m:ctrlPr/>
                </m:fPr>
                <m:num>
                  <m:r>
                    <m:rPr/>
                    <m:t>Δ</m:t>
                  </m:r>
                  <m:sSub>
                    <m:sSubPr>
                      <m:ctrlPr/>
                    </m:sSubPr>
                    <m:e>
                      <m:r>
                        <m:rPr/>
                        <m:t>T</m:t>
                      </m:r>
                    </m:e>
                    <m:sub>
                      <m:r>
                        <m:rPr/>
                        <m:t>v</m:t>
                      </m:r>
                      <m:r>
                        <m:rPr/>
                        <m:t>s</m:t>
                      </m:r>
                    </m:sub>
                  </m:sSub>
                </m:num>
                <m:den>
                  <m:r>
                    <m:rPr/>
                    <m:t>Δ</m:t>
                  </m:r>
                  <m:r>
                    <m:rPr/>
                    <m:t>t</m:t>
                  </m:r>
                </m:den>
              </m:f>
            </m:e>
          </m:d>
          <m:r>
            <m:rPr/>
            <m:t>  </m:t>
          </m:r>
          <m:d>
            <m:dPr>
              <m:begChr m:val="("/>
              <m:endChr m:val=")"/>
              <m:sepChr m:val=""/>
              <m:ctrlPr/>
            </m:dPr>
            <m:e>
              <m:r>
                <m:rPr/>
                <m:t>3</m:t>
              </m:r>
            </m:e>
          </m:d>
        </m:oMath>
      </m:oMathPara>
      <w:r/>
      <w:bookmarkEnd w:id="41"/>
      <w:r/>
      <w:r/>
    </w:p>
    <w:p>
      <w:pPr>
        <w:pStyle w:val="805"/>
        <w:pBdr/>
        <w:spacing/>
        <w:ind/>
        <w:rPr/>
      </w:pPr>
      <w:r>
        <w:t xml:space="preserve">where</w:t>
      </w:r>
      <w:r>
        <w:t xml:space="preserve"> </w:t>
      </w:r>
      <m:oMath>
        <m:sSub>
          <m:sSubPr>
            <m:ctrlPr/>
          </m:sSubPr>
          <m:e>
            <m:r>
              <m:rPr/>
              <m:t>Q</m:t>
            </m:r>
          </m:e>
          <m:sub>
            <m:r>
              <m:rPr/>
              <m:t>s</m:t>
            </m:r>
            <m:r>
              <m:rPr/>
              <m:t>w</m:t>
            </m:r>
          </m:sub>
        </m:sSub>
      </m:oMath>
      <w:r>
        <w:t xml:space="preserve"> </w:t>
      </w:r>
      <w:r>
        <w:t xml:space="preserve">and</w:t>
      </w:r>
      <w:r>
        <w:t xml:space="preserve"> </w:t>
      </w:r>
      <m:oMath>
        <m:sSub>
          <m:sSubPr>
            <m:ctrlPr/>
          </m:sSubPr>
          <m:e>
            <m:r>
              <m:rPr/>
              <m:t>Q</m:t>
            </m:r>
          </m:e>
          <m:sub>
            <m:r>
              <m:rPr/>
              <m:t>l</m:t>
            </m:r>
            <m:r>
              <m:rPr/>
              <m:t>w</m:t>
            </m:r>
          </m:sub>
        </m:sSub>
      </m:oMath>
      <w:r>
        <w:t xml:space="preserve"> </w:t>
      </w:r>
      <w:r>
        <w:t xml:space="preserve">(W m</w:t>
      </w:r>
      <w:r>
        <w:rPr>
          <w:vertAlign w:val="superscript"/>
        </w:rPr>
        <w:t xml:space="preserve">-2</w:t>
      </w:r>
      <w:r>
        <w:t xml:space="preserve">) are the net shortwave and longwave radiation heat fluxes to the canopy snow,</w:t>
      </w:r>
      <w:r>
        <w:t xml:space="preserve"> </w:t>
      </w:r>
      <m:oMath>
        <m:sSub>
          <m:sSubPr>
            <m:ctrlPr/>
          </m:sSubPr>
          <m:e>
            <m:r>
              <m:rPr/>
              <m:t>Q</m:t>
            </m:r>
          </m:e>
          <m:sub>
            <m:r>
              <m:rPr/>
              <m:t>p</m:t>
            </m:r>
          </m:sub>
        </m:sSub>
      </m:oMath>
      <w:r>
        <w:t xml:space="preserve"> </w:t>
      </w:r>
      <w:r>
        <w:t xml:space="preserve">(W m</w:t>
      </w:r>
      <w:r>
        <w:rPr>
          <w:vertAlign w:val="superscript"/>
        </w:rPr>
        <w:t xml:space="preserve">-2</w:t>
      </w:r>
      <w:r>
        <w:t xml:space="preserve">), is the advective energy rate, and</w:t>
      </w:r>
      <w:r>
        <w:t xml:space="preserve"> </w:t>
      </w:r>
      <m:oMath>
        <m:sSub>
          <m:sSubPr>
            <m:ctrlPr/>
          </m:sSubPr>
          <m:e>
            <m:r>
              <m:rPr/>
              <m:t>Q</m:t>
            </m:r>
          </m:e>
          <m:sub>
            <m:r>
              <m:rPr/>
              <m:t>l</m:t>
            </m:r>
          </m:sub>
        </m:sSub>
      </m:oMath>
      <w:r>
        <w:t xml:space="preserve"> </w:t>
      </w:r>
      <w:r>
        <w:t xml:space="preserve">and</w:t>
      </w:r>
      <w:r>
        <w:t xml:space="preserve"> </w:t>
      </w:r>
      <m:oMath>
        <m:sSub>
          <m:sSubPr>
            <m:ctrlPr/>
          </m:sSubPr>
          <m:e>
            <m:r>
              <m:rPr/>
              <m:t>Q</m:t>
            </m:r>
          </m:e>
          <m:sub>
            <m:r>
              <m:rPr/>
              <m:t>h</m:t>
            </m:r>
          </m:sub>
        </m:sSub>
      </m:oMath>
      <w:r>
        <w:t xml:space="preserve"> </w:t>
      </w:r>
      <w:r>
        <w:t xml:space="preserve">(W m</w:t>
      </w:r>
      <w:r>
        <w:rPr>
          <w:vertAlign w:val="superscript"/>
        </w:rPr>
        <w:t xml:space="preserve">-2</w:t>
      </w:r>
      <w:r>
        <w:t xml:space="preserve">), are the turbulent fluxes of latent heat and sensible heat respectively (positive towards canopy snow),</w:t>
      </w:r>
      <w:r>
        <w:t xml:space="preserve"> </w:t>
      </w:r>
      <m:oMath>
        <m:sSubSup>
          <m:sSubSupPr>
            <m:alnScr m:val="off"/>
            <m:ctrlPr/>
          </m:sSubSupPr>
          <m:e>
            <m:r>
              <m:rPr/>
              <m:t>C</m:t>
            </m:r>
          </m:e>
          <m:sub>
            <m:r>
              <m:rPr/>
              <m:t>p</m:t>
            </m:r>
          </m:sub>
          <m:sup>
            <m:r>
              <m:rPr/>
              <m:t>i</m:t>
            </m:r>
            <m:r>
              <m:rPr/>
              <m:t>c</m:t>
            </m:r>
            <m:r>
              <m:rPr/>
              <m:t>e</m:t>
            </m:r>
          </m:sup>
        </m:sSubSup>
      </m:oMath>
      <w:r>
        <w:t xml:space="preserve"> </w:t>
      </w:r>
      <w:r>
        <w:t xml:space="preserve">(J kg</w:t>
      </w:r>
      <w:r>
        <w:rPr>
          <w:vertAlign w:val="superscript"/>
        </w:rPr>
        <w:t xml:space="preserve">-1</w:t>
      </w:r>
      <w:r>
        <w:t xml:space="preserve"> </w:t>
      </w:r>
      <w:r>
        <w:t xml:space="preserve">K</w:t>
      </w:r>
      <w:r>
        <w:rPr>
          <w:vertAlign w:val="superscript"/>
        </w:rPr>
        <w:t xml:space="preserve">-1</w:t>
      </w:r>
      <w:r>
        <w:t xml:space="preserve">) is the specific heat capacity of ice, and</w:t>
      </w:r>
      <w:r>
        <w:t xml:space="preserve"> </w:t>
      </w:r>
      <m:oMath>
        <m:f>
          <m:fPr>
            <m:ctrlPr/>
          </m:fPr>
          <m:num>
            <m:r>
              <m:rPr/>
              <m:t>Δ</m:t>
            </m:r>
            <m:sSub>
              <m:sSubPr>
                <m:ctrlPr/>
              </m:sSubPr>
              <m:e>
                <m:r>
                  <m:rPr/>
                  <m:t>T</m:t>
                </m:r>
              </m:e>
              <m:sub>
                <m:r>
                  <m:rPr/>
                  <m:t>v</m:t>
                </m:r>
                <m:r>
                  <m:rPr/>
                  <m:t>s</m:t>
                </m:r>
              </m:sub>
            </m:sSub>
          </m:num>
          <m:den>
            <m:r>
              <m:rPr/>
              <m:t>Δ</m:t>
            </m:r>
            <m:r>
              <m:rPr/>
              <m:t>t</m:t>
            </m:r>
          </m:den>
        </m:f>
      </m:oMath>
      <w:r>
        <w:t xml:space="preserve"> </w:t>
      </w:r>
      <w:r>
        <w:t xml:space="preserve">(K s</w:t>
      </w:r>
      <w:r>
        <w:rPr>
          <w:vertAlign w:val="superscript"/>
        </w:rPr>
        <w:t xml:space="preserve">-1</w:t>
      </w:r>
      <w:r>
        <w:t xml:space="preserve">) is the change in canopy snow temperature over time.</w:t>
      </w:r>
      <w:r/>
    </w:p>
    <w:p>
      <w:pPr>
        <w:pStyle w:val="783"/>
        <w:pBdr/>
        <w:spacing/>
        <w:ind/>
        <w:rPr/>
      </w:pPr>
      <w:r/>
      <m:oMath>
        <m:sSub>
          <m:sSubPr>
            <m:ctrlPr/>
          </m:sSubPr>
          <m:e>
            <m:r>
              <m:rPr/>
              <m:t>Q</m:t>
            </m:r>
          </m:e>
          <m:sub>
            <m:r>
              <m:rPr/>
              <m:t>s</m:t>
            </m:r>
            <m:r>
              <m:rPr/>
              <m:t>w</m:t>
            </m:r>
          </m:sub>
        </m:sSub>
      </m:oMath>
      <w:r>
        <w:t xml:space="preserve"> </w:t>
      </w:r>
      <w:r>
        <w:t xml:space="preserve">was determined as:</w:t>
      </w:r>
      <w:r/>
    </w:p>
    <w:p>
      <w:pPr>
        <w:pStyle w:val="783"/>
        <w:pBdr/>
        <w:spacing/>
        <w:ind/>
        <w:rPr/>
      </w:pPr>
      <w:r/>
      <w:bookmarkStart w:id="42" w:name="eq-sw"/>
      <w:r/>
      <m:oMathPara>
        <m:oMathParaPr>
          <m:jc m:val="center"/>
        </m:oMathParaPr>
        <m:oMath>
          <m:sSub>
            <m:sSubPr>
              <m:ctrlPr/>
            </m:sSubPr>
            <m:e>
              <m:r>
                <m:rPr/>
                <m:t>Q</m:t>
              </m:r>
            </m:e>
            <m:sub>
              <m:r>
                <m:rPr/>
                <m:t>s</m:t>
              </m:r>
              <m:r>
                <m:rPr/>
                <m:t>w</m:t>
              </m:r>
            </m:sub>
          </m:sSub>
          <m:r>
            <m:rPr>
              <m:sty m:val="p"/>
            </m:rPr>
            <m:t>=</m:t>
          </m:r>
          <m:r>
            <m:rPr>
              <m:sty m:val="p"/>
            </m:rPr>
            <m:t>↓</m:t>
          </m:r>
          <m:sSub>
            <m:sSubPr>
              <m:ctrlPr/>
            </m:sSubPr>
            <m:e>
              <m:r>
                <m:rPr/>
                <m:t>Q</m:t>
              </m:r>
            </m:e>
            <m:sub>
              <m:r>
                <m:rPr/>
                <m:t>s</m:t>
              </m:r>
              <m:r>
                <m:rPr/>
                <m:t>w</m:t>
              </m:r>
            </m:sub>
          </m:sSub>
          <m:r>
            <m:rPr>
              <m:sty m:val="p"/>
            </m:rPr>
            <m:t>⋅</m:t>
          </m:r>
          <m:d>
            <m:dPr>
              <m:begChr m:val="("/>
              <m:endChr m:val=")"/>
              <m:sepChr m:val=""/>
              <m:ctrlPr/>
            </m:dPr>
            <m:e>
              <m:r>
                <m:rPr/>
                <m:t>1</m:t>
              </m:r>
              <m:r>
                <m:rPr>
                  <m:sty m:val="p"/>
                </m:rPr>
                <m:t>−</m:t>
              </m:r>
              <m:sSub>
                <m:sSubPr>
                  <m:ctrlPr/>
                </m:sSubPr>
                <m:e>
                  <m:r>
                    <m:rPr/>
                    <m:t>α</m:t>
                  </m:r>
                </m:e>
                <m:sub>
                  <m:r>
                    <m:rPr/>
                    <m:t>s</m:t>
                  </m:r>
                </m:sub>
              </m:sSub>
            </m:e>
          </m:d>
          <m:r>
            <m:rPr>
              <m:sty m:val="p"/>
            </m:rPr>
            <m:t>⋅</m:t>
          </m:r>
          <m:sSubSup>
            <m:sSubSupPr>
              <m:alnScr m:val="off"/>
              <m:ctrlPr/>
            </m:sSubSupPr>
            <m:e>
              <m:r>
                <m:rPr/>
                <m:t>τ</m:t>
              </m:r>
            </m:e>
            <m:sub>
              <m:r>
                <m:rPr/>
                <m:t>50</m:t>
              </m:r>
            </m:sub>
            <m:sup>
              <m:r>
                <m:rPr/>
                <m:t>v</m:t>
              </m:r>
              <m:r>
                <m:rPr/>
                <m:t>e</m:t>
              </m:r>
              <m:r>
                <m:rPr/>
                <m:t>g</m:t>
              </m:r>
            </m:sup>
          </m:sSubSup>
          <m:r>
            <m:rPr/>
            <m:t>  </m:t>
          </m:r>
          <m:d>
            <m:dPr>
              <m:begChr m:val="("/>
              <m:endChr m:val=")"/>
              <m:sepChr m:val=""/>
              <m:ctrlPr/>
            </m:dPr>
            <m:e>
              <m:r>
                <m:rPr/>
                <m:t>4</m:t>
              </m:r>
            </m:e>
          </m:d>
        </m:oMath>
      </m:oMathPara>
      <w:r/>
      <w:bookmarkEnd w:id="42"/>
      <w:r/>
      <w:r/>
    </w:p>
    <w:p>
      <w:pPr>
        <w:pStyle w:val="805"/>
        <w:pBdr/>
        <w:spacing/>
        <w:ind/>
        <w:rPr/>
      </w:pPr>
      <w:r>
        <w:t xml:space="preserve">where</w:t>
      </w:r>
      <w:r>
        <w:t xml:space="preserve"> </w:t>
      </w:r>
      <m:oMath>
        <m:r>
          <m:rPr>
            <m:sty m:val="p"/>
          </m:rPr>
          <m:t>↓</m:t>
        </m:r>
        <m:sSub>
          <m:sSubPr>
            <m:ctrlPr/>
          </m:sSubPr>
          <m:e>
            <m:r>
              <m:rPr/>
              <m:t>Q</m:t>
            </m:r>
          </m:e>
          <m:sub>
            <m:r>
              <m:rPr/>
              <m:t>s</m:t>
            </m:r>
            <m:r>
              <m:rPr/>
              <m:t>w</m:t>
            </m:r>
          </m:sub>
        </m:sSub>
      </m:oMath>
      <w:r>
        <w:t xml:space="preserve"> </w:t>
      </w:r>
      <w:r>
        <w:t xml:space="preserve">is the downwelling shortwave radiation (W m</w:t>
      </w:r>
      <w:r>
        <w:rPr>
          <w:vertAlign w:val="superscript"/>
        </w:rPr>
        <w:t xml:space="preserve">-2</w:t>
      </w:r>
      <w:r>
        <w:t xml:space="preserve">),</w:t>
      </w:r>
      <w:r>
        <w:t xml:space="preserve"> </w:t>
      </w:r>
      <m:oMath>
        <m:sSub>
          <m:sSubPr>
            <m:ctrlPr/>
          </m:sSubPr>
          <m:e>
            <m:r>
              <m:rPr/>
              <m:t>α</m:t>
            </m:r>
          </m:e>
          <m:sub>
            <m:r>
              <m:rPr/>
              <m:t>s</m:t>
            </m:r>
          </m:sub>
        </m:sSub>
      </m:oMath>
      <w:r>
        <w:t xml:space="preserve"> </w:t>
      </w:r>
      <w:r>
        <w:t xml:space="preserve">is the albedo of snow intercepted in the canopy (-),</w:t>
      </w:r>
      <w:r>
        <w:t xml:space="preserve"> </w:t>
      </w:r>
      <m:oMath>
        <m:sSubSup>
          <m:sSubSupPr>
            <m:alnScr m:val="off"/>
            <m:ctrlPr/>
          </m:sSubSupPr>
          <m:e>
            <m:r>
              <m:rPr/>
              <m:t>τ</m:t>
            </m:r>
          </m:e>
          <m:sub>
            <m:r>
              <m:rPr/>
              <m:t>50</m:t>
            </m:r>
          </m:sub>
          <m:sup>
            <m:r>
              <m:rPr/>
              <m:t>v</m:t>
            </m:r>
            <m:r>
              <m:rPr/>
              <m:t>e</m:t>
            </m:r>
            <m:r>
              <m:rPr/>
              <m:t>g</m:t>
            </m:r>
          </m:sup>
        </m:sSubSup>
      </m:oMath>
      <w:r>
        <w:t xml:space="preserve"> </w:t>
      </w:r>
      <w:r>
        <w:t xml:space="preserve">(-) is the canopy transmittance to</w:t>
      </w:r>
      <w:r>
        <w:t xml:space="preserve"> </w:t>
      </w:r>
      <m:oMath>
        <m:r>
          <m:rPr>
            <m:sty m:val="p"/>
          </m:rPr>
          <m:t>↓</m:t>
        </m:r>
        <m:sSub>
          <m:sSubPr>
            <m:ctrlPr/>
          </m:sSubPr>
          <m:e>
            <m:r>
              <m:rPr/>
              <m:t>Q</m:t>
            </m:r>
          </m:e>
          <m:sub>
            <m:r>
              <m:rPr/>
              <m:t>s</m:t>
            </m:r>
            <m:r>
              <m:rPr/>
              <m:t>w</m:t>
            </m:r>
          </m:sub>
        </m:sSub>
      </m:oMath>
      <w:r>
        <w:t xml:space="preserve">.</w:t>
      </w:r>
      <w:r>
        <w:t xml:space="preserve"> </w:t>
      </w:r>
      <m:oMath>
        <m:sSubSup>
          <m:sSubSupPr>
            <m:alnScr m:val="off"/>
            <m:ctrlPr/>
          </m:sSubSupPr>
          <m:e>
            <m:r>
              <m:rPr/>
              <m:t>τ</m:t>
            </m:r>
          </m:e>
          <m:sub>
            <m:r>
              <m:rPr/>
              <m:t>50</m:t>
            </m:r>
          </m:sub>
          <m:sup>
            <m:r>
              <m:rPr/>
              <m:t>v</m:t>
            </m:r>
            <m:r>
              <m:rPr/>
              <m:t>e</m:t>
            </m:r>
            <m:r>
              <m:rPr/>
              <m:t>g</m:t>
            </m:r>
          </m:sup>
        </m:sSubSup>
      </m:oMath>
      <w:r>
        <w:t xml:space="preserve"> </w:t>
      </w:r>
      <w:r>
        <w:t xml:space="preserve">was determined using Equation from</w:t>
      </w:r>
      <w:r>
        <w:t xml:space="preserve"> </w:t>
      </w:r>
      <w:r>
        <w:t xml:space="preserve">Pomeroy et al. (2009)</w:t>
      </w:r>
      <w:r>
        <w:t xml:space="preserve"> </w:t>
      </w:r>
      <w:r>
        <w:t xml:space="preserve">with half of the leaf area index (LAI), following studies</w:t>
      </w:r>
      <w:r>
        <w:t xml:space="preserve"> </w:t>
      </w:r>
      <w:r>
        <w:t xml:space="preserve">(Kesselring et al., 2024; Weiskittel et al., 2009)</w:t>
      </w:r>
      <w:r>
        <w:t xml:space="preserve">, who report that approximately 50% of the total leaf area is concentrated in the upper half of coniferous canopies. This provides an approximation of the mean</w:t>
      </w:r>
      <w:r>
        <w:t xml:space="preserve"> </w:t>
      </w:r>
      <m:oMath>
        <m:sSub>
          <m:sSubPr>
            <m:ctrlPr/>
          </m:sSubPr>
          <m:e>
            <m:r>
              <m:rPr/>
              <m:t>Q</m:t>
            </m:r>
          </m:e>
          <m:sub>
            <m:r>
              <m:rPr/>
              <m:t>s</m:t>
            </m:r>
            <m:r>
              <m:rPr/>
              <m:t>w</m:t>
            </m:r>
          </m:sub>
        </m:sSub>
      </m:oMath>
      <w:r>
        <w:t xml:space="preserve"> </w:t>
      </w:r>
      <w:r>
        <w:t xml:space="preserve">to all snow intercepted in the canopy, and is a simplification from using a partial differential equation to determine the radiation incident to individua</w:t>
      </w:r>
      <w:r>
        <w:t xml:space="preserve">l height layers within the canopy. Upwelling shortwave radiation reflected off of the surface snowpack is considered negligible contribution to the snow intercepted in the canopy as it is primarily blocked by vegetation elements underlying the canopy snow.</w:t>
      </w:r>
      <w:r/>
    </w:p>
    <w:p>
      <w:pPr>
        <w:pStyle w:val="783"/>
        <w:pBdr/>
        <w:spacing/>
        <w:ind/>
        <w:rPr/>
      </w:pPr>
      <w:r/>
      <m:oMath>
        <m:sSub>
          <m:sSubPr>
            <m:ctrlPr/>
          </m:sSubPr>
          <m:e>
            <m:r>
              <m:rPr/>
              <m:t>Q</m:t>
            </m:r>
          </m:e>
          <m:sub>
            <m:r>
              <m:rPr/>
              <m:t>l</m:t>
            </m:r>
            <m:r>
              <m:rPr/>
              <m:t>w</m:t>
            </m:r>
          </m:sub>
        </m:sSub>
      </m:oMath>
      <w:r>
        <w:t xml:space="preserve"> </w:t>
      </w:r>
      <w:r>
        <w:t xml:space="preserve">was approximated as:</w:t>
      </w:r>
      <w:r/>
    </w:p>
    <w:p>
      <w:pPr>
        <w:pStyle w:val="783"/>
        <w:pBdr/>
        <w:spacing/>
        <w:ind/>
        <w:rPr/>
      </w:pPr>
      <w:r/>
      <w:bookmarkStart w:id="43" w:name="eq-lw"/>
      <w:r/>
      <m:oMathPara>
        <m:oMathParaPr>
          <m:jc m:val="center"/>
        </m:oMathParaPr>
        <m:oMath>
          <m:sSub>
            <m:sSubPr>
              <m:ctrlPr/>
            </m:sSubPr>
            <m:e>
              <m:r>
                <m:rPr/>
                <m:t>Q</m:t>
              </m:r>
            </m:e>
            <m:sub>
              <m:r>
                <m:rPr/>
                <m:t>l</m:t>
              </m:r>
              <m:r>
                <m:rPr/>
                <m:t>w</m:t>
              </m:r>
            </m:sub>
          </m:sSub>
          <m:r>
            <m:rPr>
              <m:sty m:val="p"/>
            </m:rPr>
            <m:t>=</m:t>
          </m:r>
          <m:r>
            <m:rPr>
              <m:sty m:val="p"/>
            </m:rPr>
            <m:t>↓</m:t>
          </m:r>
          <m:sSubSup>
            <m:sSubSupPr>
              <m:alnScr m:val="off"/>
              <m:ctrlPr/>
            </m:sSubSupPr>
            <m:e>
              <m:r>
                <m:rPr/>
                <m:t>Q</m:t>
              </m:r>
            </m:e>
            <m:sub>
              <m:r>
                <m:rPr/>
                <m:t>l</m:t>
              </m:r>
              <m:r>
                <m:rPr/>
                <m:t>w</m:t>
              </m:r>
            </m:sub>
            <m:sup>
              <m:r>
                <m:rPr/>
                <m:t>a</m:t>
              </m:r>
              <m:r>
                <m:rPr/>
                <m:t>t</m:t>
              </m:r>
              <m:r>
                <m:rPr/>
                <m:t>m</m:t>
              </m:r>
            </m:sup>
          </m:sSubSup>
          <m:r>
            <m:rPr>
              <m:sty m:val="p"/>
            </m:rPr>
            <m:t>+</m:t>
          </m:r>
          <m:r>
            <m:rPr>
              <m:sty m:val="p"/>
            </m:rPr>
            <m:t>↑</m:t>
          </m:r>
          <m:sSubSup>
            <m:sSubSupPr>
              <m:alnScr m:val="off"/>
              <m:ctrlPr/>
            </m:sSubSupPr>
            <m:e>
              <m:r>
                <m:rPr/>
                <m:t>Q</m:t>
              </m:r>
            </m:e>
            <m:sub>
              <m:r>
                <m:rPr/>
                <m:t>l</m:t>
              </m:r>
              <m:r>
                <m:rPr/>
                <m:t>w</m:t>
              </m:r>
            </m:sub>
            <m:sup>
              <m:r>
                <m:rPr/>
                <m:t>v</m:t>
              </m:r>
              <m:r>
                <m:rPr/>
                <m:t>e</m:t>
              </m:r>
              <m:r>
                <m:rPr/>
                <m:t>g</m:t>
              </m:r>
            </m:sup>
          </m:sSubSup>
          <m:r>
            <m:rPr>
              <m:sty m:val="p"/>
            </m:rPr>
            <m:t>+</m:t>
          </m:r>
          <m:r>
            <m:rPr>
              <m:sty m:val="p"/>
            </m:rPr>
            <m:t>↑</m:t>
          </m:r>
          <m:sSubSup>
            <m:sSubSupPr>
              <m:alnScr m:val="off"/>
              <m:ctrlPr/>
            </m:sSubSupPr>
            <m:e>
              <m:r>
                <m:rPr/>
                <m:t>Q</m:t>
              </m:r>
            </m:e>
            <m:sub>
              <m:r>
                <m:rPr/>
                <m:t>l</m:t>
              </m:r>
              <m:r>
                <m:rPr/>
                <m:t>w</m:t>
              </m:r>
            </m:sub>
            <m:sup>
              <m:r>
                <m:rPr/>
                <m:t>v</m:t>
              </m:r>
              <m:r>
                <m:rPr/>
                <m:t>e</m:t>
              </m:r>
              <m:r>
                <m:rPr/>
                <m:t>g</m:t>
              </m:r>
              <m:r>
                <m:rPr/>
                <m:t>2</m:t>
              </m:r>
              <m:r>
                <m:rPr/>
                <m:t>v</m:t>
              </m:r>
              <m:r>
                <m:rPr/>
                <m:t>e</m:t>
              </m:r>
              <m:r>
                <m:rPr/>
                <m:t>g</m:t>
              </m:r>
            </m:sup>
          </m:sSubSup>
          <m:r>
            <m:rPr>
              <m:sty m:val="p"/>
            </m:rPr>
            <m:t>−</m:t>
          </m:r>
          <m:sSubSup>
            <m:sSubSupPr>
              <m:alnScr m:val="off"/>
              <m:ctrlPr/>
            </m:sSubSupPr>
            <m:e>
              <m:r>
                <m:rPr/>
                <m:t>Q</m:t>
              </m:r>
            </m:e>
            <m:sub>
              <m:r>
                <m:rPr/>
                <m:t>l</m:t>
              </m:r>
              <m:r>
                <m:rPr/>
                <m:t>w</m:t>
              </m:r>
            </m:sub>
            <m:sup>
              <m:r>
                <m:rPr/>
                <m:t>v</m:t>
              </m:r>
              <m:r>
                <m:rPr/>
                <m:t>s</m:t>
              </m:r>
            </m:sup>
          </m:sSubSup>
          <m:r>
            <m:rPr/>
            <m:t>  </m:t>
          </m:r>
          <m:d>
            <m:dPr>
              <m:begChr m:val="("/>
              <m:endChr m:val=")"/>
              <m:sepChr m:val=""/>
              <m:ctrlPr/>
            </m:dPr>
            <m:e>
              <m:r>
                <m:rPr/>
                <m:t>5</m:t>
              </m:r>
            </m:e>
          </m:d>
        </m:oMath>
      </m:oMathPara>
      <w:r/>
      <w:bookmarkEnd w:id="43"/>
      <w:r/>
      <w:r/>
    </w:p>
    <w:p>
      <w:pPr>
        <w:pStyle w:val="805"/>
        <w:pBdr/>
        <w:spacing/>
        <w:ind/>
        <w:rPr/>
      </w:pPr>
      <w:r>
        <w:t xml:space="preserve">where</w:t>
      </w:r>
      <w:r>
        <w:t xml:space="preserve"> </w:t>
      </w:r>
      <m:oMath>
        <m:sSubSup>
          <m:sSubSupPr>
            <m:alnScr m:val="off"/>
            <m:ctrlPr/>
          </m:sSubSupPr>
          <m:e>
            <m:r>
              <m:rPr/>
              <m:t>Q</m:t>
            </m:r>
          </m:e>
          <m:sub>
            <m:r>
              <m:rPr/>
              <m:t>l</m:t>
            </m:r>
            <m:r>
              <m:rPr/>
              <m:t>w</m:t>
            </m:r>
          </m:sub>
          <m:sup>
            <m:r>
              <m:rPr/>
              <m:t>a</m:t>
            </m:r>
            <m:r>
              <m:rPr/>
              <m:t>t</m:t>
            </m:r>
            <m:r>
              <m:rPr/>
              <m:t>m</m:t>
            </m:r>
          </m:sup>
        </m:sSubSup>
      </m:oMath>
      <w:r>
        <w:t xml:space="preserve"> </w:t>
      </w:r>
      <w:r>
        <w:t xml:space="preserve">is the downwelling longwave radiation from the atmosphere (W m</w:t>
      </w:r>
      <w:r>
        <w:rPr>
          <w:vertAlign w:val="superscript"/>
        </w:rPr>
        <w:t xml:space="preserve">-2</w:t>
      </w:r>
      <w:r>
        <w:t xml:space="preserve">),</w:t>
      </w:r>
      <w:r>
        <w:t xml:space="preserve"> </w:t>
      </w:r>
      <m:oMath>
        <m:sSubSup>
          <m:sSubSupPr>
            <m:alnScr m:val="off"/>
            <m:ctrlPr/>
          </m:sSubSupPr>
          <m:e>
            <m:r>
              <m:rPr/>
              <m:t>Q</m:t>
            </m:r>
          </m:e>
          <m:sub>
            <m:r>
              <m:rPr/>
              <m:t>l</m:t>
            </m:r>
            <m:r>
              <m:rPr/>
              <m:t>w</m:t>
            </m:r>
          </m:sub>
          <m:sup>
            <m:r>
              <m:rPr/>
              <m:t>v</m:t>
            </m:r>
            <m:r>
              <m:rPr/>
              <m:t>e</m:t>
            </m:r>
            <m:r>
              <m:rPr/>
              <m:t>g</m:t>
            </m:r>
          </m:sup>
        </m:sSubSup>
      </m:oMath>
      <w:r>
        <w:t xml:space="preserve"> </w:t>
      </w:r>
      <w:r>
        <w:t xml:space="preserve">is the longwave radiation upwelling from vegetation elements underlying snow intercepted in the canopy (W m</w:t>
      </w:r>
      <w:r>
        <w:rPr>
          <w:vertAlign w:val="superscript"/>
        </w:rPr>
        <w:t xml:space="preserve">-2</w:t>
      </w:r>
      <w:r>
        <w:t xml:space="preserve">),</w:t>
      </w:r>
      <w:r>
        <w:t xml:space="preserve"> </w:t>
      </w:r>
      <m:oMath>
        <m:sSubSup>
          <m:sSubSupPr>
            <m:alnScr m:val="off"/>
            <m:ctrlPr/>
          </m:sSubSupPr>
          <m:e>
            <m:r>
              <m:rPr/>
              <m:t>Q</m:t>
            </m:r>
          </m:e>
          <m:sub>
            <m:r>
              <m:rPr/>
              <m:t>l</m:t>
            </m:r>
            <m:r>
              <m:rPr/>
              <m:t>w</m:t>
            </m:r>
          </m:sub>
          <m:sup>
            <m:r>
              <m:rPr/>
              <m:t>v</m:t>
            </m:r>
            <m:r>
              <m:rPr/>
              <m:t>e</m:t>
            </m:r>
            <m:r>
              <m:rPr/>
              <m:t>g</m:t>
            </m:r>
            <m:r>
              <m:rPr/>
              <m:t>2</m:t>
            </m:r>
            <m:r>
              <m:rPr/>
              <m:t>v</m:t>
            </m:r>
            <m:r>
              <m:rPr/>
              <m:t>e</m:t>
            </m:r>
            <m:r>
              <m:rPr/>
              <m:t>g</m:t>
            </m:r>
          </m:sup>
        </m:sSubSup>
      </m:oMath>
      <w:r>
        <w:t xml:space="preserve"> </w:t>
      </w:r>
      <w:r>
        <w:t xml:space="preserve">is the downwelling longwave radiation emitted from the underside of the vegetation elements reflected by the subcanopy snowpack (W m</w:t>
      </w:r>
      <w:r>
        <w:rPr>
          <w:vertAlign w:val="superscript"/>
        </w:rPr>
        <w:t xml:space="preserve">-2</w:t>
      </w:r>
      <w:r>
        <w:t xml:space="preserve">), and</w:t>
      </w:r>
      <w:r>
        <w:t xml:space="preserve"> </w:t>
      </w:r>
      <m:oMath>
        <m:sSubSup>
          <m:sSubSupPr>
            <m:alnScr m:val="off"/>
            <m:ctrlPr/>
          </m:sSubSupPr>
          <m:e>
            <m:r>
              <m:rPr/>
              <m:t>Q</m:t>
            </m:r>
          </m:e>
          <m:sub>
            <m:r>
              <m:rPr/>
              <m:t>l</m:t>
            </m:r>
            <m:r>
              <m:rPr/>
              <m:t>w</m:t>
            </m:r>
          </m:sub>
          <m:sup>
            <m:r>
              <m:rPr/>
              <m:t>v</m:t>
            </m:r>
            <m:r>
              <m:rPr/>
              <m:t>s</m:t>
            </m:r>
          </m:sup>
        </m:sSubSup>
      </m:oMath>
      <w:r>
        <w:t xml:space="preserve"> </w:t>
      </w:r>
      <w:r>
        <w:t xml:space="preserve">(W m</w:t>
      </w:r>
      <w:r>
        <w:rPr>
          <w:vertAlign w:val="superscript"/>
        </w:rPr>
        <w:t xml:space="preserve">-2</w:t>
      </w:r>
      <w:r>
        <w:t xml:space="preserve">) is the outgoing longwave radiation from the top and bottom of the canopy snow layer calculated as:</w:t>
      </w:r>
      <w:r/>
    </w:p>
    <w:p>
      <w:pPr>
        <w:pStyle w:val="783"/>
        <w:pBdr/>
        <w:spacing/>
        <w:ind/>
        <w:rPr/>
      </w:pPr>
      <w:r/>
      <w:bookmarkStart w:id="44" w:name="eq-lw-vs"/>
      <w:r/>
      <m:oMathPara>
        <m:oMathParaPr>
          <m:jc m:val="center"/>
        </m:oMathParaPr>
        <m:oMath>
          <m:sSubSup>
            <m:sSubSupPr>
              <m:alnScr m:val="off"/>
              <m:ctrlPr/>
            </m:sSubSupPr>
            <m:e>
              <m:r>
                <m:rPr/>
                <m:t>Q</m:t>
              </m:r>
            </m:e>
            <m:sub>
              <m:r>
                <m:rPr/>
                <m:t>l</m:t>
              </m:r>
              <m:r>
                <m:rPr/>
                <m:t>w</m:t>
              </m:r>
            </m:sub>
            <m:sup>
              <m:r>
                <m:rPr/>
                <m:t>v</m:t>
              </m:r>
              <m:r>
                <m:rPr/>
                <m:t>s</m:t>
              </m:r>
            </m:sup>
          </m:sSubSup>
          <m:r>
            <m:rPr>
              <m:sty m:val="p"/>
            </m:rPr>
            <m:t>=</m:t>
          </m:r>
          <m:r>
            <m:rPr/>
            <m:t>2</m:t>
          </m:r>
          <m:sSub>
            <m:sSubPr>
              <m:ctrlPr/>
            </m:sSubPr>
            <m:e>
              <m:r>
                <m:rPr/>
                <m:t>ϵ</m:t>
              </m:r>
            </m:e>
            <m:sub>
              <m:r>
                <m:rPr/>
                <m:t>s</m:t>
              </m:r>
            </m:sub>
          </m:sSub>
          <m:r>
            <m:rPr/>
            <m:t>σ</m:t>
          </m:r>
          <m:sSubSup>
            <m:sSubSupPr>
              <m:alnScr m:val="off"/>
              <m:ctrlPr/>
            </m:sSubSupPr>
            <m:e>
              <m:r>
                <m:rPr/>
                <m:t>T</m:t>
              </m:r>
            </m:e>
            <m:sub>
              <m:r>
                <m:rPr/>
                <m:t>v</m:t>
              </m:r>
              <m:r>
                <m:rPr/>
                <m:t>s</m:t>
              </m:r>
            </m:sub>
            <m:sup>
              <m:r>
                <m:rPr/>
                <m:t>4</m:t>
              </m:r>
            </m:sup>
          </m:sSubSup>
          <m:r>
            <m:rPr/>
            <m:t>  </m:t>
          </m:r>
          <m:d>
            <m:dPr>
              <m:begChr m:val="("/>
              <m:endChr m:val=")"/>
              <m:sepChr m:val=""/>
              <m:ctrlPr/>
            </m:dPr>
            <m:e>
              <m:r>
                <m:rPr/>
                <m:t>6</m:t>
              </m:r>
            </m:e>
          </m:d>
        </m:oMath>
      </m:oMathPara>
      <w:r/>
      <w:bookmarkEnd w:id="44"/>
      <w:r/>
      <w:r/>
    </w:p>
    <w:p>
      <w:pPr>
        <w:pStyle w:val="805"/>
        <w:pBdr/>
        <w:spacing/>
        <w:ind/>
        <w:rPr/>
      </w:pPr>
      <w:r>
        <w:t xml:space="preserve">where</w:t>
      </w:r>
      <w:r>
        <w:t xml:space="preserve"> </w:t>
      </w:r>
      <m:oMath>
        <m:sSub>
          <m:sSubPr>
            <m:ctrlPr/>
          </m:sSubPr>
          <m:e>
            <m:r>
              <m:rPr/>
              <m:t>ϵ</m:t>
            </m:r>
          </m:e>
          <m:sub>
            <m:r>
              <m:rPr/>
              <m:t>s</m:t>
            </m:r>
          </m:sub>
        </m:sSub>
      </m:oMath>
      <w:r>
        <w:t xml:space="preserve"> </w:t>
      </w:r>
      <w:r>
        <w:t xml:space="preserve">is the emissivity (-) of snow taken as 0.99 and</w:t>
      </w:r>
      <w:r>
        <w:t xml:space="preserve"> </w:t>
      </w:r>
      <m:oMath>
        <m:r>
          <m:rPr/>
          <m:t>σ</m:t>
        </m:r>
      </m:oMath>
      <w:r>
        <w:t xml:space="preserve"> </w:t>
      </w:r>
      <w:r>
        <w:t xml:space="preserve">is the Stefan–Boltzmann (5.67e-10 W m</w:t>
      </w:r>
      <w:r>
        <w:rPr>
          <w:vertAlign w:val="superscript"/>
        </w:rPr>
        <w:t xml:space="preserve">-1</w:t>
      </w:r>
      <w:r>
        <w:t xml:space="preserve"> </w:t>
      </w:r>
      <w:r>
        <w:t xml:space="preserve">K</w:t>
      </w:r>
      <w:r>
        <w:rPr>
          <w:vertAlign w:val="superscript"/>
        </w:rPr>
        <w:t xml:space="preserve">-4</w:t>
      </w:r>
      <w:r>
        <w:t xml:space="preserve">).</w:t>
      </w:r>
      <w:r>
        <w:t xml:space="preserve"> </w:t>
      </w:r>
      <m:oMath>
        <m:sSubSup>
          <m:sSubSupPr>
            <m:alnScr m:val="off"/>
            <m:ctrlPr/>
          </m:sSubSupPr>
          <m:e>
            <m:r>
              <m:rPr/>
              <m:t>Q</m:t>
            </m:r>
          </m:e>
          <m:sub>
            <m:r>
              <m:rPr/>
              <m:t>l</m:t>
            </m:r>
            <m:r>
              <m:rPr/>
              <m:t>w</m:t>
            </m:r>
          </m:sub>
          <m:sup>
            <m:r>
              <m:rPr/>
              <m:t>a</m:t>
            </m:r>
            <m:r>
              <m:rPr/>
              <m:t>t</m:t>
            </m:r>
            <m:r>
              <m:rPr/>
              <m:t>m</m:t>
            </m:r>
          </m:sup>
        </m:sSubSup>
      </m:oMath>
      <w:r>
        <w:t xml:space="preserve"> </w:t>
      </w:r>
      <w:r>
        <w:t xml:space="preserve">was approximated in this study as in</w:t>
      </w:r>
      <w:r>
        <w:t xml:space="preserve"> </w:t>
      </w:r>
      <w:r>
        <w:t xml:space="preserve">Sicart et al. (2006)</w:t>
      </w:r>
      <w:r>
        <w:t xml:space="preserve"> </w:t>
      </w:r>
      <w:r>
        <w:t xml:space="preserve">to take into account the influence of atmospheric moisture on emissivity.</w:t>
      </w:r>
      <w:r>
        <w:t xml:space="preserve"> </w:t>
      </w:r>
      <m:oMath>
        <m:sSubSup>
          <m:sSubSupPr>
            <m:alnScr m:val="off"/>
            <m:ctrlPr/>
          </m:sSubSupPr>
          <m:e>
            <m:r>
              <m:rPr/>
              <m:t>Q</m:t>
            </m:r>
          </m:e>
          <m:sub>
            <m:r>
              <m:rPr/>
              <m:t>l</m:t>
            </m:r>
            <m:r>
              <m:rPr/>
              <m:t>w</m:t>
            </m:r>
          </m:sub>
          <m:sup>
            <m:r>
              <m:rPr/>
              <m:t>v</m:t>
            </m:r>
            <m:r>
              <m:rPr/>
              <m:t>e</m:t>
            </m:r>
            <m:r>
              <m:rPr/>
              <m:t>g</m:t>
            </m:r>
          </m:sup>
        </m:sSubSup>
      </m:oMath>
      <w:r>
        <w:t xml:space="preserve"> </w:t>
      </w:r>
      <w:r>
        <w:t xml:space="preserve">was calculated with the assumption that canopy elements were in equilibrium with the air temperature plus any change in vegetation temperature from the extinction of</w:t>
      </w:r>
      <w:r>
        <w:t xml:space="preserve"> </w:t>
      </w:r>
      <m:oMath>
        <m:r>
          <m:rPr>
            <m:sty m:val="p"/>
          </m:rPr>
          <m:t>↓</m:t>
        </m:r>
        <m:sSub>
          <m:sSubPr>
            <m:ctrlPr/>
          </m:sSubPr>
          <m:e>
            <m:r>
              <m:rPr/>
              <m:t>Q</m:t>
            </m:r>
          </m:e>
          <m:sub>
            <m:r>
              <m:rPr/>
              <m:t>s</m:t>
            </m:r>
            <m:r>
              <m:rPr/>
              <m:t>w</m:t>
            </m:r>
          </m:sub>
        </m:sSub>
      </m:oMath>
      <w:r>
        <w:t xml:space="preserve"> </w:t>
      </w:r>
      <w:r>
        <w:t xml:space="preserve">in the canopy</w:t>
      </w:r>
      <w:r>
        <w:t xml:space="preserve"> </w:t>
      </w:r>
      <w:r>
        <w:t xml:space="preserve">(Pomeroy et al., 2009, Eq. 4)</w:t>
      </w:r>
      <w:r>
        <w:t xml:space="preserve">.</w:t>
      </w:r>
      <w:r/>
    </w:p>
    <w:p>
      <w:pPr>
        <w:pStyle w:val="783"/>
        <w:pBdr/>
        <w:spacing/>
        <w:ind/>
        <w:rPr/>
      </w:pPr>
      <w:r/>
      <m:oMath>
        <m:sSub>
          <m:sSubPr>
            <m:ctrlPr/>
          </m:sSubPr>
          <m:e>
            <m:r>
              <m:rPr/>
              <m:t>Q</m:t>
            </m:r>
          </m:e>
          <m:sub>
            <m:r>
              <m:rPr/>
              <m:t>p</m:t>
            </m:r>
          </m:sub>
        </m:sSub>
      </m:oMath>
      <w:r>
        <w:t xml:space="preserve"> </w:t>
      </w:r>
      <w:r>
        <w:t xml:space="preserve">was calculated as:</w:t>
      </w:r>
      <w:r/>
    </w:p>
    <w:p>
      <w:pPr>
        <w:pStyle w:val="783"/>
        <w:pBdr/>
        <w:spacing/>
        <w:ind/>
        <w:rPr/>
      </w:pPr>
      <w:r/>
      <w:bookmarkStart w:id="45" w:name="eq-qp"/>
      <w:r/>
      <m:oMathPara>
        <m:oMathParaPr>
          <m:jc m:val="center"/>
        </m:oMathParaPr>
        <m:oMath>
          <m:sSub>
            <m:sSubPr>
              <m:ctrlPr/>
            </m:sSubPr>
            <m:e>
              <m:r>
                <m:rPr/>
                <m:t>Q</m:t>
              </m:r>
            </m:e>
            <m:sub>
              <m:r>
                <m:rPr/>
                <m:t>p</m:t>
              </m:r>
            </m:sub>
          </m:sSub>
          <m:r>
            <m:rPr>
              <m:sty m:val="p"/>
            </m:rPr>
            <m:t>=</m:t>
          </m:r>
          <m:d>
            <m:dPr>
              <m:begChr m:val="["/>
              <m:endChr m:val="]"/>
              <m:sepChr m:val=""/>
              <m:ctrlPr/>
            </m:dPr>
            <m:e>
              <m:sSubSup>
                <m:sSubSupPr>
                  <m:alnScr m:val="off"/>
                  <m:ctrlPr/>
                </m:sSubSupPr>
                <m:e>
                  <m:r>
                    <m:rPr/>
                    <m:t>C</m:t>
                  </m:r>
                </m:e>
                <m:sub>
                  <m:r>
                    <m:rPr/>
                    <m:t>p</m:t>
                  </m:r>
                </m:sub>
                <m:sup>
                  <m:r>
                    <m:rPr/>
                    <m:t>w</m:t>
                  </m:r>
                  <m:r>
                    <m:rPr/>
                    <m:t>t</m:t>
                  </m:r>
                  <m:r>
                    <m:rPr/>
                    <m:t>r</m:t>
                  </m:r>
                </m:sup>
              </m:sSubSup>
              <m:sSub>
                <m:sSubPr>
                  <m:ctrlPr/>
                </m:sSubPr>
                <m:e>
                  <m:r>
                    <m:rPr/>
                    <m:t>m</m:t>
                  </m:r>
                </m:e>
                <m:sub>
                  <m:r>
                    <m:rPr/>
                    <m:t>r</m:t>
                  </m:r>
                </m:sub>
              </m:sSub>
              <m:d>
                <m:dPr>
                  <m:begChr m:val="("/>
                  <m:endChr m:val=")"/>
                  <m:sepChr m:val=""/>
                  <m:ctrlPr/>
                </m:dPr>
                <m:e>
                  <m:sSub>
                    <m:sSubPr>
                      <m:ctrlPr/>
                    </m:sSubPr>
                    <m:e>
                      <m:r>
                        <m:rPr/>
                        <m:t>T</m:t>
                      </m:r>
                    </m:e>
                    <m:sub>
                      <m:r>
                        <m:rPr/>
                        <m:t>r</m:t>
                      </m:r>
                    </m:sub>
                  </m:sSub>
                  <m:r>
                    <m:rPr>
                      <m:sty m:val="p"/>
                    </m:rPr>
                    <m:t>−</m:t>
                  </m:r>
                  <m:sSub>
                    <m:sSubPr>
                      <m:ctrlPr/>
                    </m:sSubPr>
                    <m:e>
                      <m:r>
                        <m:rPr/>
                        <m:t>T</m:t>
                      </m:r>
                    </m:e>
                    <m:sub>
                      <m:r>
                        <m:rPr/>
                        <m:t>v</m:t>
                      </m:r>
                      <m:r>
                        <m:rPr/>
                        <m:t>s</m:t>
                      </m:r>
                    </m:sub>
                  </m:sSub>
                </m:e>
              </m:d>
              <m:r>
                <m:rPr>
                  <m:sty m:val="p"/>
                </m:rPr>
                <m:t>+</m:t>
              </m:r>
              <m:sSubSup>
                <m:sSubSupPr>
                  <m:alnScr m:val="off"/>
                  <m:ctrlPr/>
                </m:sSubSupPr>
                <m:e>
                  <m:r>
                    <m:rPr/>
                    <m:t>C</m:t>
                  </m:r>
                </m:e>
                <m:sub>
                  <m:r>
                    <m:rPr/>
                    <m:t>p</m:t>
                  </m:r>
                </m:sub>
                <m:sup>
                  <m:r>
                    <m:rPr/>
                    <m:t>i</m:t>
                  </m:r>
                  <m:r>
                    <m:rPr/>
                    <m:t>c</m:t>
                  </m:r>
                  <m:r>
                    <m:rPr/>
                    <m:t>e</m:t>
                  </m:r>
                </m:sup>
              </m:sSubSup>
              <m:sSub>
                <m:sSubPr>
                  <m:ctrlPr/>
                </m:sSubPr>
                <m:e>
                  <m:r>
                    <m:rPr/>
                    <m:t>m</m:t>
                  </m:r>
                </m:e>
                <m:sub>
                  <m:r>
                    <m:rPr/>
                    <m:t>s</m:t>
                  </m:r>
                </m:sub>
              </m:sSub>
              <m:d>
                <m:dPr>
                  <m:begChr m:val="("/>
                  <m:endChr m:val=")"/>
                  <m:sepChr m:val=""/>
                  <m:ctrlPr/>
                </m:dPr>
                <m:e>
                  <m:sSub>
                    <m:sSubPr>
                      <m:ctrlPr/>
                    </m:sSubPr>
                    <m:e>
                      <m:r>
                        <m:rPr/>
                        <m:t>T</m:t>
                      </m:r>
                    </m:e>
                    <m:sub>
                      <m:r>
                        <m:rPr/>
                        <m:t>s</m:t>
                      </m:r>
                    </m:sub>
                  </m:sSub>
                  <m:r>
                    <m:rPr>
                      <m:sty m:val="p"/>
                    </m:rPr>
                    <m:t>−</m:t>
                  </m:r>
                  <m:sSub>
                    <m:sSubPr>
                      <m:ctrlPr/>
                    </m:sSubPr>
                    <m:e>
                      <m:r>
                        <m:rPr/>
                        <m:t>T</m:t>
                      </m:r>
                    </m:e>
                    <m:sub>
                      <m:r>
                        <m:rPr/>
                        <m:t>v</m:t>
                      </m:r>
                      <m:r>
                        <m:rPr/>
                        <m:t>s</m:t>
                      </m:r>
                    </m:sub>
                  </m:sSub>
                </m:e>
              </m:d>
            </m:e>
          </m:d>
          <m:r>
            <m:rPr>
              <m:sty m:val="p"/>
            </m:rPr>
            <m:t>/</m:t>
          </m:r>
          <m:r>
            <m:rPr/>
            <m:t>Δ</m:t>
          </m:r>
          <m:r>
            <m:rPr/>
            <m:t>t</m:t>
          </m:r>
          <m:r>
            <m:rPr/>
            <m:t>  </m:t>
          </m:r>
          <m:d>
            <m:dPr>
              <m:begChr m:val="("/>
              <m:endChr m:val=")"/>
              <m:sepChr m:val=""/>
              <m:ctrlPr/>
            </m:dPr>
            <m:e>
              <m:r>
                <m:rPr/>
                <m:t>7</m:t>
              </m:r>
            </m:e>
          </m:d>
        </m:oMath>
      </m:oMathPara>
      <w:r/>
      <w:bookmarkEnd w:id="45"/>
      <w:r/>
      <w:r/>
    </w:p>
    <w:p>
      <w:pPr>
        <w:pStyle w:val="805"/>
        <w:pBdr/>
        <w:spacing/>
        <w:ind/>
        <w:rPr/>
      </w:pPr>
      <w:r>
        <w:t xml:space="preserve">where</w:t>
      </w:r>
      <w:r>
        <w:t xml:space="preserve"> </w:t>
      </w:r>
      <m:oMath>
        <m:sSubSup>
          <m:sSubSupPr>
            <m:alnScr m:val="off"/>
            <m:ctrlPr/>
          </m:sSubSupPr>
          <m:e>
            <m:r>
              <m:rPr/>
              <m:t>C</m:t>
            </m:r>
          </m:e>
          <m:sub>
            <m:r>
              <m:rPr/>
              <m:t>p</m:t>
            </m:r>
          </m:sub>
          <m:sup>
            <m:r>
              <m:rPr/>
              <m:t>w</m:t>
            </m:r>
            <m:r>
              <m:rPr/>
              <m:t>t</m:t>
            </m:r>
            <m:r>
              <m:rPr/>
              <m:t>r</m:t>
            </m:r>
          </m:sup>
        </m:sSubSup>
      </m:oMath>
      <w:r>
        <w:t xml:space="preserve"> </w:t>
      </w:r>
      <w:r>
        <w:t xml:space="preserve">is the specific heat capacity of water (J kg</w:t>
      </w:r>
      <w:r>
        <w:rPr>
          <w:vertAlign w:val="superscript"/>
        </w:rPr>
        <w:t xml:space="preserve">-1</w:t>
      </w:r>
      <w:r>
        <w:t xml:space="preserve"> </w:t>
      </w:r>
      <w:r>
        <w:t xml:space="preserve">K</w:t>
      </w:r>
      <w:r>
        <w:rPr>
          <w:vertAlign w:val="superscript"/>
        </w:rPr>
        <w:t xml:space="preserve">-1</w:t>
      </w:r>
      <w:r>
        <w:t xml:space="preserve">),</w:t>
      </w:r>
      <w:r>
        <w:t xml:space="preserve"> </w:t>
      </w:r>
      <m:oMath>
        <m:sSub>
          <m:sSubPr>
            <m:ctrlPr/>
          </m:sSubPr>
          <m:e>
            <m:r>
              <m:rPr/>
              <m:t>m</m:t>
            </m:r>
          </m:e>
          <m:sub>
            <m:r>
              <m:rPr/>
              <m:t>r</m:t>
            </m:r>
          </m:sub>
        </m:sSub>
      </m:oMath>
      <w:r>
        <w:t xml:space="preserve"> </w:t>
      </w:r>
      <w:r>
        <w:t xml:space="preserve">is the specific mass of liquid water in precipitation (mm),</w:t>
      </w:r>
      <w:r>
        <w:t xml:space="preserve"> </w:t>
      </w:r>
      <m:oMath>
        <m:sSub>
          <m:sSubPr>
            <m:ctrlPr/>
          </m:sSubPr>
          <m:e>
            <m:r>
              <m:rPr/>
              <m:t>T</m:t>
            </m:r>
          </m:e>
          <m:sub>
            <m:r>
              <m:rPr/>
              <m:t>r</m:t>
            </m:r>
          </m:sub>
        </m:sSub>
      </m:oMath>
      <w:r>
        <w:t xml:space="preserve"> </w:t>
      </w:r>
      <w:r>
        <w:t xml:space="preserve">is the rainfall temperature (K),</w:t>
      </w:r>
      <w:r>
        <w:t xml:space="preserve"> </w:t>
      </w:r>
      <m:oMath>
        <m:sSub>
          <m:sSubPr>
            <m:ctrlPr/>
          </m:sSubPr>
          <m:e>
            <m:r>
              <m:rPr/>
              <m:t>m</m:t>
            </m:r>
          </m:e>
          <m:sub>
            <m:r>
              <m:rPr/>
              <m:t>s</m:t>
            </m:r>
          </m:sub>
        </m:sSub>
      </m:oMath>
      <w:r>
        <w:t xml:space="preserve"> </w:t>
      </w:r>
      <w:r>
        <w:t xml:space="preserve">is the specific mass of snow in precipitation (mm), and</w:t>
      </w:r>
      <w:r>
        <w:t xml:space="preserve"> </w:t>
      </w:r>
      <m:oMath>
        <m:sSub>
          <m:sSubPr>
            <m:ctrlPr/>
          </m:sSubPr>
          <m:e>
            <m:r>
              <m:rPr/>
              <m:t>T</m:t>
            </m:r>
          </m:e>
          <m:sub>
            <m:r>
              <m:rPr/>
              <m:t>s</m:t>
            </m:r>
          </m:sub>
        </m:sSub>
      </m:oMath>
      <w:r>
        <w:t xml:space="preserve"> </w:t>
      </w:r>
      <w:r>
        <w:t xml:space="preserve">is the snowfall temperature (K).</w:t>
      </w:r>
      <w:r/>
    </w:p>
    <w:p>
      <w:pPr>
        <w:pStyle w:val="783"/>
        <w:pBdr/>
        <w:spacing/>
        <w:ind/>
        <w:rPr/>
      </w:pPr>
      <w:r/>
      <m:oMath>
        <m:sSub>
          <m:sSubPr>
            <m:ctrlPr/>
          </m:sSubPr>
          <m:e>
            <m:r>
              <m:rPr/>
              <m:t>Q</m:t>
            </m:r>
          </m:e>
          <m:sub>
            <m:r>
              <m:rPr/>
              <m:t>h</m:t>
            </m:r>
          </m:sub>
        </m:sSub>
      </m:oMath>
      <w:r>
        <w:t xml:space="preserve"> </w:t>
      </w:r>
      <w:r>
        <w:t xml:space="preserve">was calculated as:</w:t>
      </w:r>
      <w:r/>
    </w:p>
    <w:p>
      <w:pPr>
        <w:pStyle w:val="783"/>
        <w:pBdr/>
        <w:spacing/>
        <w:ind/>
        <w:rPr/>
      </w:pPr>
      <w:r/>
      <w:bookmarkStart w:id="46" w:name="eq-qh"/>
      <w:r/>
      <m:oMathPara>
        <m:oMathParaPr>
          <m:jc m:val="center"/>
        </m:oMathParaPr>
        <m:oMath>
          <m:sSub>
            <m:sSubPr>
              <m:ctrlPr/>
            </m:sSubPr>
            <m:e>
              <m:r>
                <m:rPr/>
                <m:t>Q</m:t>
              </m:r>
            </m:e>
            <m:sub>
              <m:r>
                <m:rPr/>
                <m:t>h</m:t>
              </m:r>
            </m:sub>
          </m:sSub>
          <m:r>
            <m:rPr>
              <m:sty m:val="p"/>
            </m:rPr>
            <m:t>=</m:t>
          </m:r>
          <m:f>
            <m:fPr>
              <m:ctrlPr/>
            </m:fPr>
            <m:num>
              <m:sSub>
                <m:sSubPr>
                  <m:ctrlPr/>
                </m:sSubPr>
                <m:e>
                  <m:r>
                    <m:rPr/>
                    <m:t>ρ</m:t>
                  </m:r>
                </m:e>
                <m:sub>
                  <m:r>
                    <m:rPr/>
                    <m:t>a</m:t>
                  </m:r>
                </m:sub>
              </m:sSub>
            </m:num>
            <m:den>
              <m:sSub>
                <m:sSubPr>
                  <m:ctrlPr/>
                </m:sSubPr>
                <m:e>
                  <m:r>
                    <m:rPr/>
                    <m:t>r</m:t>
                  </m:r>
                </m:e>
                <m:sub>
                  <m:r>
                    <m:rPr/>
                    <m:t>a</m:t>
                  </m:r>
                </m:sub>
              </m:sSub>
            </m:den>
          </m:f>
          <m:sSubSup>
            <m:sSubSupPr>
              <m:alnScr m:val="off"/>
              <m:ctrlPr/>
            </m:sSubSupPr>
            <m:e>
              <m:r>
                <m:rPr/>
                <m:t>C</m:t>
              </m:r>
            </m:e>
            <m:sub>
              <m:r>
                <m:rPr/>
                <m:t>p</m:t>
              </m:r>
            </m:sub>
            <m:sup>
              <m:r>
                <m:rPr/>
                <m:t>a</m:t>
              </m:r>
              <m:r>
                <m:rPr/>
                <m:t>i</m:t>
              </m:r>
              <m:r>
                <m:rPr/>
                <m:t>r</m:t>
              </m:r>
            </m:sup>
          </m:sSubSup>
          <m:d>
            <m:dPr>
              <m:begChr m:val="("/>
              <m:endChr m:val=")"/>
              <m:sepChr m:val=""/>
              <m:ctrlPr/>
            </m:dPr>
            <m:e>
              <m:sSub>
                <m:sSubPr>
                  <m:ctrlPr/>
                </m:sSubPr>
                <m:e>
                  <m:r>
                    <m:rPr/>
                    <m:t>T</m:t>
                  </m:r>
                </m:e>
                <m:sub>
                  <m:r>
                    <m:rPr/>
                    <m:t>a</m:t>
                  </m:r>
                </m:sub>
              </m:sSub>
              <m:r>
                <m:rPr>
                  <m:sty m:val="p"/>
                </m:rPr>
                <m:t>−</m:t>
              </m:r>
              <m:sSub>
                <m:sSubPr>
                  <m:ctrlPr/>
                </m:sSubPr>
                <m:e>
                  <m:r>
                    <m:rPr/>
                    <m:t>T</m:t>
                  </m:r>
                </m:e>
                <m:sub>
                  <m:r>
                    <m:rPr/>
                    <m:t>v</m:t>
                  </m:r>
                  <m:r>
                    <m:rPr/>
                    <m:t>s</m:t>
                  </m:r>
                </m:sub>
              </m:sSub>
            </m:e>
          </m:d>
          <m:r>
            <m:rPr/>
            <m:t>  </m:t>
          </m:r>
          <m:d>
            <m:dPr>
              <m:begChr m:val="("/>
              <m:endChr m:val=")"/>
              <m:sepChr m:val=""/>
              <m:ctrlPr/>
            </m:dPr>
            <m:e>
              <m:r>
                <m:rPr/>
                <m:t>8</m:t>
              </m:r>
            </m:e>
          </m:d>
        </m:oMath>
      </m:oMathPara>
      <w:r/>
      <w:bookmarkEnd w:id="46"/>
      <w:r/>
      <w:r/>
    </w:p>
    <w:p>
      <w:pPr>
        <w:pStyle w:val="805"/>
        <w:pBdr/>
        <w:spacing/>
        <w:ind/>
        <w:rPr/>
      </w:pPr>
      <w:r>
        <w:t xml:space="preserve">where</w:t>
      </w:r>
      <w:r>
        <w:t xml:space="preserve"> </w:t>
      </w:r>
      <m:oMath>
        <m:sSub>
          <m:sSubPr>
            <m:ctrlPr/>
          </m:sSubPr>
          <m:e>
            <m:r>
              <m:rPr/>
              <m:t>ρ</m:t>
            </m:r>
          </m:e>
          <m:sub>
            <m:r>
              <m:rPr/>
              <m:t>a</m:t>
            </m:r>
          </m:sub>
        </m:sSub>
      </m:oMath>
      <w:r>
        <w:t xml:space="preserve"> </w:t>
      </w:r>
      <w:r>
        <w:t xml:space="preserve">is the air density (kg m</w:t>
      </w:r>
      <w:r>
        <w:rPr>
          <w:vertAlign w:val="superscript"/>
        </w:rPr>
        <w:t xml:space="preserve">-3</w:t>
      </w:r>
      <w:r>
        <w:t xml:space="preserve">),</w:t>
      </w:r>
      <w:r>
        <w:t xml:space="preserve"> </w:t>
      </w:r>
      <m:oMath>
        <m:sSubSup>
          <m:sSubSupPr>
            <m:alnScr m:val="off"/>
            <m:ctrlPr/>
          </m:sSubSupPr>
          <m:e>
            <m:r>
              <m:rPr/>
              <m:t>C</m:t>
            </m:r>
          </m:e>
          <m:sub>
            <m:r>
              <m:rPr/>
              <m:t>p</m:t>
            </m:r>
          </m:sub>
          <m:sup>
            <m:r>
              <m:rPr/>
              <m:t>a</m:t>
            </m:r>
            <m:r>
              <m:rPr/>
              <m:t>i</m:t>
            </m:r>
            <m:r>
              <m:rPr/>
              <m:t>r</m:t>
            </m:r>
          </m:sup>
        </m:sSubSup>
      </m:oMath>
      <w:r>
        <w:t xml:space="preserve"> </w:t>
      </w:r>
      <w:r>
        <w:t xml:space="preserve">is the specific heat capacity of air (J kg</w:t>
      </w:r>
      <w:r>
        <w:rPr>
          <w:vertAlign w:val="superscript"/>
        </w:rPr>
        <w:t xml:space="preserve">-1</w:t>
      </w:r>
      <w:r>
        <w:t xml:space="preserve"> </w:t>
      </w:r>
      <w:r>
        <w:t xml:space="preserve">K</w:t>
      </w:r>
      <w:r>
        <w:rPr>
          <w:vertAlign w:val="superscript"/>
        </w:rPr>
        <w:t xml:space="preserve">-1</w:t>
      </w:r>
      <w:r>
        <w:t xml:space="preserve">),</w:t>
      </w:r>
      <w:r>
        <w:t xml:space="preserve"> </w:t>
      </w:r>
      <m:oMath>
        <m:sSub>
          <m:sSubPr>
            <m:ctrlPr/>
          </m:sSubPr>
          <m:e>
            <m:r>
              <m:rPr/>
              <m:t>T</m:t>
            </m:r>
          </m:e>
          <m:sub>
            <m:r>
              <m:rPr/>
              <m:t>a</m:t>
            </m:r>
          </m:sub>
        </m:sSub>
      </m:oMath>
      <w:r>
        <w:t xml:space="preserve"> </w:t>
      </w:r>
      <w:r>
        <w:t xml:space="preserve">is the air temperature, and</w:t>
      </w:r>
      <w:r>
        <w:t xml:space="preserve"> </w:t>
      </w:r>
      <m:oMath>
        <m:sSub>
          <m:sSubPr>
            <m:ctrlPr/>
          </m:sSubPr>
          <m:e>
            <m:r>
              <m:rPr/>
              <m:t>r</m:t>
            </m:r>
          </m:e>
          <m:sub>
            <m:r>
              <m:rPr/>
              <m:t>a</m:t>
            </m:r>
          </m:sub>
        </m:sSub>
      </m:oMath>
      <w:r>
        <w:t xml:space="preserve"> </w:t>
      </w:r>
      <w:r>
        <w:t xml:space="preserve">is the aerodynamic resistance (s m</w:t>
      </w:r>
      <w:r>
        <w:rPr>
          <w:vertAlign w:val="superscript"/>
        </w:rPr>
        <w:t xml:space="preserve">-1</w:t>
      </w:r>
      <w:r>
        <w:t xml:space="preserve">) which was approximated from Equation 4 from</w:t>
      </w:r>
      <w:r>
        <w:t xml:space="preserve"> </w:t>
      </w:r>
      <w:r>
        <w:t xml:space="preserve">Allan et al. (1998)</w:t>
      </w:r>
      <w:r>
        <w:t xml:space="preserve"> </w:t>
      </w:r>
      <w:r>
        <w:t xml:space="preserve">as:</w:t>
      </w:r>
      <w:r/>
    </w:p>
    <w:p>
      <w:pPr>
        <w:pStyle w:val="783"/>
        <w:pBdr/>
        <w:spacing/>
        <w:ind/>
        <w:rPr/>
      </w:pPr>
      <w:r/>
      <w:bookmarkStart w:id="47" w:name="eq-ra"/>
      <w:r/>
      <m:oMathPara>
        <m:oMathParaPr>
          <m:jc m:val="center"/>
        </m:oMathParaPr>
        <m:oMath>
          <m:sSub>
            <m:sSubPr>
              <m:ctrlPr/>
            </m:sSubPr>
            <m:e>
              <m:r>
                <m:rPr/>
                <m:t>r</m:t>
              </m:r>
            </m:e>
            <m:sub>
              <m:r>
                <m:rPr/>
                <m:t>a</m:t>
              </m:r>
            </m:sub>
          </m:sSub>
          <m:r>
            <m:rPr>
              <m:sty m:val="p"/>
            </m:rPr>
            <m:t>=</m:t>
          </m:r>
          <m:f>
            <m:fPr>
              <m:ctrlPr/>
            </m:fPr>
            <m:num>
              <m:r>
                <m:rPr>
                  <m:nor m:val="on"/>
                  <m:sty m:val="p"/>
                </m:rPr>
                <m:t>log</m:t>
              </m:r>
              <m:d>
                <m:dPr>
                  <m:begChr m:val="("/>
                  <m:endChr m:val=")"/>
                  <m:sepChr m:val=""/>
                  <m:ctrlPr/>
                </m:dPr>
                <m:e>
                  <m:f>
                    <m:fPr>
                      <m:ctrlPr/>
                    </m:fPr>
                    <m:num>
                      <m:sSub>
                        <m:sSubPr>
                          <m:ctrlPr/>
                        </m:sSubPr>
                        <m:e>
                          <m:r>
                            <m:rPr/>
                            <m:t>z</m:t>
                          </m:r>
                        </m:e>
                        <m:sub>
                          <m:r>
                            <m:rPr/>
                            <m:t>T</m:t>
                          </m:r>
                        </m:sub>
                      </m:sSub>
                      <m:r>
                        <m:rPr>
                          <m:sty m:val="p"/>
                        </m:rPr>
                        <m:t>−</m:t>
                      </m:r>
                      <m:sSub>
                        <m:sSubPr>
                          <m:ctrlPr/>
                        </m:sSubPr>
                        <m:e>
                          <m:r>
                            <m:rPr/>
                            <m:t>d</m:t>
                          </m:r>
                        </m:e>
                        <m:sub>
                          <m:r>
                            <m:rPr/>
                            <m:t>0</m:t>
                          </m:r>
                        </m:sub>
                      </m:sSub>
                    </m:num>
                    <m:den>
                      <m:sSub>
                        <m:sSubPr>
                          <m:ctrlPr/>
                        </m:sSubPr>
                        <m:e>
                          <m:r>
                            <m:rPr/>
                            <m:t>z</m:t>
                          </m:r>
                        </m:e>
                        <m:sub>
                          <m:r>
                            <m:rPr/>
                            <m:t>0</m:t>
                          </m:r>
                        </m:sub>
                      </m:sSub>
                    </m:den>
                  </m:f>
                </m:e>
              </m:d>
              <m:r>
                <m:rPr>
                  <m:nor m:val="on"/>
                  <m:sty m:val="p"/>
                </m:rPr>
                <m:t>log</m:t>
              </m:r>
              <m:d>
                <m:dPr>
                  <m:begChr m:val="("/>
                  <m:endChr m:val=")"/>
                  <m:sepChr m:val=""/>
                  <m:ctrlPr/>
                </m:dPr>
                <m:e>
                  <m:f>
                    <m:fPr>
                      <m:ctrlPr/>
                    </m:fPr>
                    <m:num>
                      <m:sSub>
                        <m:sSubPr>
                          <m:ctrlPr/>
                        </m:sSubPr>
                        <m:e>
                          <m:r>
                            <m:rPr/>
                            <m:t>z</m:t>
                          </m:r>
                        </m:e>
                        <m:sub>
                          <m:r>
                            <m:rPr/>
                            <m:t>u</m:t>
                          </m:r>
                        </m:sub>
                      </m:sSub>
                      <m:r>
                        <m:rPr>
                          <m:sty m:val="p"/>
                        </m:rPr>
                        <m:t>−</m:t>
                      </m:r>
                      <m:sSub>
                        <m:sSubPr>
                          <m:ctrlPr/>
                        </m:sSubPr>
                        <m:e>
                          <m:r>
                            <m:rPr/>
                            <m:t>d</m:t>
                          </m:r>
                        </m:e>
                        <m:sub>
                          <m:r>
                            <m:rPr/>
                            <m:t>0</m:t>
                          </m:r>
                        </m:sub>
                      </m:sSub>
                    </m:num>
                    <m:den>
                      <m:sSub>
                        <m:sSubPr>
                          <m:ctrlPr/>
                        </m:sSubPr>
                        <m:e>
                          <m:r>
                            <m:rPr/>
                            <m:t>z</m:t>
                          </m:r>
                        </m:e>
                        <m:sub>
                          <m:r>
                            <m:rPr/>
                            <m:t>0</m:t>
                          </m:r>
                        </m:sub>
                      </m:sSub>
                    </m:den>
                  </m:f>
                </m:e>
              </m:d>
            </m:num>
            <m:den>
              <m:sSup>
                <m:sSupPr>
                  <m:ctrlPr/>
                </m:sSupPr>
                <m:e>
                  <m:r>
                    <m:rPr/>
                    <m:t>κ</m:t>
                  </m:r>
                </m:e>
                <m:sup>
                  <m:r>
                    <m:rPr/>
                    <m:t>2</m:t>
                  </m:r>
                </m:sup>
              </m:sSup>
              <m:sSub>
                <m:sSubPr>
                  <m:ctrlPr/>
                </m:sSubPr>
                <m:e>
                  <m:r>
                    <m:rPr/>
                    <m:t>u</m:t>
                  </m:r>
                </m:e>
                <m:sub>
                  <m:r>
                    <m:rPr/>
                    <m:t>z</m:t>
                  </m:r>
                </m:sub>
              </m:sSub>
            </m:den>
          </m:f>
          <m:r>
            <m:rPr/>
            <m:t>  </m:t>
          </m:r>
          <m:d>
            <m:dPr>
              <m:begChr m:val="("/>
              <m:endChr m:val=")"/>
              <m:sepChr m:val=""/>
              <m:ctrlPr/>
            </m:dPr>
            <m:e>
              <m:r>
                <m:rPr/>
                <m:t>9</m:t>
              </m:r>
            </m:e>
          </m:d>
        </m:oMath>
      </m:oMathPara>
      <w:r/>
      <w:bookmarkEnd w:id="47"/>
      <w:r/>
      <w:r/>
    </w:p>
    <w:p>
      <w:pPr>
        <w:pStyle w:val="805"/>
        <w:pBdr/>
        <w:spacing/>
        <w:ind/>
        <w:rPr/>
      </w:pPr>
      <w:r>
        <w:t xml:space="preserve">where</w:t>
      </w:r>
      <w:r>
        <w:t xml:space="preserve"> </w:t>
      </w:r>
      <m:oMath>
        <m:sSub>
          <m:sSubPr>
            <m:ctrlPr/>
          </m:sSubPr>
          <m:e>
            <m:r>
              <m:rPr/>
              <m:t>z</m:t>
            </m:r>
          </m:e>
          <m:sub>
            <m:r>
              <m:rPr/>
              <m:t>T</m:t>
            </m:r>
          </m:sub>
        </m:sSub>
      </m:oMath>
      <w:r>
        <w:t xml:space="preserve"> </w:t>
      </w:r>
      <w:r>
        <w:t xml:space="preserve">is the height of temperature measurement (m),</w:t>
      </w:r>
      <w:r>
        <w:t xml:space="preserve"> </w:t>
      </w:r>
      <m:oMath>
        <m:sSub>
          <m:sSubPr>
            <m:ctrlPr/>
          </m:sSubPr>
          <m:e>
            <m:r>
              <m:rPr/>
              <m:t>d</m:t>
            </m:r>
          </m:e>
          <m:sub>
            <m:r>
              <m:rPr/>
              <m:t>0</m:t>
            </m:r>
          </m:sub>
        </m:sSub>
      </m:oMath>
      <w:r>
        <w:t xml:space="preserve"> </w:t>
      </w:r>
      <w:r>
        <w:t xml:space="preserve">is the displacement height (m) which was approximated as 2/3</w:t>
      </w:r>
      <w:r>
        <w:rPr>
          <w:vertAlign w:val="superscript"/>
        </w:rPr>
        <w:t xml:space="preserve">rd</w:t>
      </w:r>
      <w:r>
        <w:t xml:space="preserve"> </w:t>
      </w:r>
      <w:r>
        <w:t xml:space="preserve">the mean canopy height,</w:t>
      </w:r>
      <w:r>
        <w:t xml:space="preserve"> </w:t>
      </w:r>
      <m:oMath>
        <m:sSub>
          <m:sSubPr>
            <m:ctrlPr/>
          </m:sSubPr>
          <m:e>
            <m:r>
              <m:rPr/>
              <m:t>z</m:t>
            </m:r>
          </m:e>
          <m:sub>
            <m:r>
              <m:rPr/>
              <m:t>0</m:t>
            </m:r>
          </m:sub>
        </m:sSub>
      </m:oMath>
      <w:r>
        <w:t xml:space="preserve"> </w:t>
      </w:r>
      <w:r>
        <w:t xml:space="preserve">is the roughness length (m) which was approximated as 1/10</w:t>
      </w:r>
      <w:r>
        <w:rPr>
          <w:vertAlign w:val="superscript"/>
        </w:rPr>
        <w:t xml:space="preserve">th</w:t>
      </w:r>
      <w:r>
        <w:t xml:space="preserve"> </w:t>
      </w:r>
      <w:r>
        <w:t xml:space="preserve">of the mean canopy height,</w:t>
      </w:r>
      <w:r>
        <w:t xml:space="preserve"> </w:t>
      </w:r>
      <m:oMath>
        <m:sSub>
          <m:sSubPr>
            <m:ctrlPr/>
          </m:sSubPr>
          <m:e>
            <m:r>
              <m:rPr/>
              <m:t>z</m:t>
            </m:r>
          </m:e>
          <m:sub>
            <m:r>
              <m:rPr/>
              <m:t>u</m:t>
            </m:r>
          </m:sub>
        </m:sSub>
      </m:oMath>
      <w:r>
        <w:t xml:space="preserve"> </w:t>
      </w:r>
      <w:r>
        <w:t xml:space="preserve">is the wind speed measurement height (m),</w:t>
      </w:r>
      <w:r>
        <w:t xml:space="preserve"> </w:t>
      </w:r>
      <m:oMath>
        <m:r>
          <m:rPr/>
          <m:t>κ</m:t>
        </m:r>
      </m:oMath>
      <w:r>
        <w:t xml:space="preserve"> </w:t>
      </w:r>
      <w:r>
        <w:t xml:space="preserve">is von Karman’s constant, 0.41 (-), and</w:t>
      </w:r>
      <w:r>
        <w:t xml:space="preserve"> </w:t>
      </w:r>
      <m:oMath>
        <m:sSub>
          <m:sSubPr>
            <m:ctrlPr/>
          </m:sSubPr>
          <m:e>
            <m:r>
              <m:rPr/>
              <m:t>u</m:t>
            </m:r>
          </m:e>
          <m:sub>
            <m:r>
              <m:rPr/>
              <m:t>z</m:t>
            </m:r>
          </m:sub>
        </m:sSub>
      </m:oMath>
      <w:r>
        <w:t xml:space="preserve"> </w:t>
      </w:r>
      <w:r>
        <w:t xml:space="preserve">is the wind speed measurement at</w:t>
      </w:r>
      <w:r>
        <w:t xml:space="preserve"> </w:t>
      </w:r>
      <m:oMath>
        <m:sSub>
          <m:sSubPr>
            <m:ctrlPr/>
          </m:sSubPr>
          <m:e>
            <m:r>
              <m:rPr/>
              <m:t>z</m:t>
            </m:r>
          </m:e>
          <m:sub>
            <m:r>
              <m:rPr/>
              <m:t>u</m:t>
            </m:r>
          </m:sub>
        </m:sSub>
      </m:oMath>
      <w:r>
        <w:t xml:space="preserve"> </w:t>
      </w:r>
      <w:r>
        <w:t xml:space="preserve">(m s</w:t>
      </w:r>
      <w:r>
        <w:rPr>
          <w:vertAlign w:val="superscript"/>
        </w:rPr>
        <w:t xml:space="preserve">-1</w:t>
      </w:r>
      <w:r>
        <w:t xml:space="preserve">).</w:t>
      </w:r>
      <w:r/>
    </w:p>
    <w:p>
      <w:pPr>
        <w:pStyle w:val="783"/>
        <w:pBdr/>
        <w:spacing/>
        <w:ind/>
        <w:rPr/>
      </w:pPr>
      <w:r/>
      <m:oMath>
        <m:sSub>
          <m:sSubPr>
            <m:ctrlPr/>
          </m:sSubPr>
          <m:e>
            <m:r>
              <m:rPr/>
              <m:t>Q</m:t>
            </m:r>
          </m:e>
          <m:sub>
            <m:r>
              <m:rPr/>
              <m:t>l</m:t>
            </m:r>
          </m:sub>
        </m:sSub>
      </m:oMath>
      <w:r>
        <w:t xml:space="preserve"> </w:t>
      </w:r>
      <w:r>
        <w:t xml:space="preserve">was calculated as:</w:t>
      </w:r>
      <w:r/>
    </w:p>
    <w:p>
      <w:pPr>
        <w:pStyle w:val="783"/>
        <w:pBdr/>
        <w:spacing/>
        <w:ind/>
        <w:rPr/>
      </w:pPr>
      <w:r/>
      <w:bookmarkStart w:id="48" w:name="eq-ql"/>
      <w:r/>
      <m:oMathPara>
        <m:oMathParaPr>
          <m:jc m:val="center"/>
        </m:oMathParaPr>
        <m:oMath>
          <m:sSub>
            <m:sSubPr>
              <m:ctrlPr/>
            </m:sSubPr>
            <m:e>
              <m:r>
                <m:rPr/>
                <m:t>Q</m:t>
              </m:r>
            </m:e>
            <m:sub>
              <m:r>
                <m:rPr/>
                <m:t>l</m:t>
              </m:r>
            </m:sub>
          </m:sSub>
          <m:r>
            <m:rPr>
              <m:sty m:val="p"/>
            </m:rPr>
            <m:t>=</m:t>
          </m:r>
          <m:f>
            <m:fPr>
              <m:ctrlPr/>
            </m:fPr>
            <m:num>
              <m:sSub>
                <m:sSubPr>
                  <m:ctrlPr/>
                </m:sSubPr>
                <m:e>
                  <m:r>
                    <m:rPr/>
                    <m:t>ρ</m:t>
                  </m:r>
                </m:e>
                <m:sub>
                  <m:r>
                    <m:rPr/>
                    <m:t>a</m:t>
                  </m:r>
                </m:sub>
              </m:sSub>
            </m:num>
            <m:den>
              <m:sSub>
                <m:sSubPr>
                  <m:ctrlPr/>
                </m:sSubPr>
                <m:e>
                  <m:r>
                    <m:rPr/>
                    <m:t>r</m:t>
                  </m:r>
                </m:e>
                <m:sub>
                  <m:r>
                    <m:rPr/>
                    <m:t>i</m:t>
                  </m:r>
                </m:sub>
              </m:sSub>
              <m:r>
                <m:rPr>
                  <m:sty m:val="p"/>
                </m:rPr>
                <m:t>+</m:t>
              </m:r>
              <m:sSub>
                <m:sSubPr>
                  <m:ctrlPr/>
                </m:sSubPr>
                <m:e>
                  <m:r>
                    <m:rPr/>
                    <m:t>r</m:t>
                  </m:r>
                </m:e>
                <m:sub>
                  <m:r>
                    <m:rPr/>
                    <m:t>a</m:t>
                  </m:r>
                </m:sub>
              </m:sSub>
            </m:den>
          </m:f>
          <m:d>
            <m:dPr>
              <m:begChr m:val="("/>
              <m:endChr m:val=")"/>
              <m:sepChr m:val=""/>
              <m:ctrlPr/>
            </m:dPr>
            <m:e>
              <m:sSub>
                <m:sSubPr>
                  <m:ctrlPr/>
                </m:sSubPr>
                <m:e>
                  <m:r>
                    <m:rPr/>
                    <m:t>q</m:t>
                  </m:r>
                </m:e>
                <m:sub>
                  <m:r>
                    <m:rPr/>
                    <m:t>a</m:t>
                  </m:r>
                </m:sub>
              </m:sSub>
              <m:d>
                <m:dPr>
                  <m:begChr m:val="("/>
                  <m:endChr m:val=")"/>
                  <m:sepChr m:val=""/>
                  <m:ctrlPr/>
                </m:dPr>
                <m:e>
                  <m:sSub>
                    <m:sSubPr>
                      <m:ctrlPr/>
                    </m:sSubPr>
                    <m:e>
                      <m:r>
                        <m:rPr/>
                        <m:t>T</m:t>
                      </m:r>
                    </m:e>
                    <m:sub>
                      <m:r>
                        <m:rPr/>
                        <m:t>a</m:t>
                      </m:r>
                    </m:sub>
                  </m:sSub>
                </m:e>
              </m:d>
              <m:r>
                <m:rPr>
                  <m:sty m:val="p"/>
                </m:rPr>
                <m:t>−</m:t>
              </m:r>
              <m:sSub>
                <m:sSubPr>
                  <m:ctrlPr/>
                </m:sSubPr>
                <m:e>
                  <m:r>
                    <m:rPr/>
                    <m:t>q</m:t>
                  </m:r>
                </m:e>
                <m:sub>
                  <m:r>
                    <m:rPr/>
                    <m:t>v</m:t>
                  </m:r>
                  <m:r>
                    <m:rPr/>
                    <m:t>s</m:t>
                  </m:r>
                </m:sub>
              </m:sSub>
              <m:d>
                <m:dPr>
                  <m:begChr m:val="("/>
                  <m:endChr m:val=")"/>
                  <m:sepChr m:val=""/>
                  <m:ctrlPr/>
                </m:dPr>
                <m:e>
                  <m:sSub>
                    <m:sSubPr>
                      <m:ctrlPr/>
                    </m:sSubPr>
                    <m:e>
                      <m:r>
                        <m:rPr/>
                        <m:t>T</m:t>
                      </m:r>
                    </m:e>
                    <m:sub>
                      <m:r>
                        <m:rPr/>
                        <m:t>v</m:t>
                      </m:r>
                      <m:r>
                        <m:rPr/>
                        <m:t>s</m:t>
                      </m:r>
                    </m:sub>
                  </m:sSub>
                </m:e>
              </m:d>
            </m:e>
          </m:d>
          <m:r>
            <m:rPr/>
            <m:t>  </m:t>
          </m:r>
          <m:d>
            <m:dPr>
              <m:begChr m:val="("/>
              <m:endChr m:val=")"/>
              <m:sepChr m:val=""/>
              <m:ctrlPr/>
            </m:dPr>
            <m:e>
              <m:r>
                <m:rPr/>
                <m:t>10</m:t>
              </m:r>
            </m:e>
          </m:d>
        </m:oMath>
      </m:oMathPara>
      <w:r/>
      <w:bookmarkEnd w:id="48"/>
      <w:r/>
      <w:r/>
    </w:p>
    <w:p>
      <w:pPr>
        <w:pStyle w:val="805"/>
        <w:pBdr/>
        <w:spacing/>
        <w:ind/>
        <w:rPr/>
      </w:pPr>
      <w:r>
        <w:t xml:space="preserve">where</w:t>
      </w:r>
      <w:r>
        <w:t xml:space="preserve"> </w:t>
      </w:r>
      <m:oMath>
        <m:sSub>
          <m:sSubPr>
            <m:ctrlPr/>
          </m:sSubPr>
          <m:e>
            <m:r>
              <m:rPr/>
              <m:t>r</m:t>
            </m:r>
          </m:e>
          <m:sub>
            <m:r>
              <m:rPr/>
              <m:t>i</m:t>
            </m:r>
          </m:sub>
        </m:sSub>
      </m:oMath>
      <w:r>
        <w:t xml:space="preserve"> </w:t>
      </w:r>
      <w:r>
        <w:t xml:space="preserve">is a resistance for transport of moisture from intercepted snow to the canopy air space</w:t>
      </w:r>
      <w:r>
        <w:t xml:space="preserve"> </w:t>
      </w:r>
      <w:r>
        <w:t xml:space="preserve">(Eq. 28 in Essery et al., 2003)</w:t>
      </w:r>
      <w:r>
        <w:t xml:space="preserve">,</w:t>
      </w:r>
      <w:r>
        <w:t xml:space="preserve"> </w:t>
      </w:r>
      <m:oMath>
        <m:sSub>
          <m:sSubPr>
            <m:ctrlPr/>
          </m:sSubPr>
          <m:e>
            <m:r>
              <m:rPr/>
              <m:t>q</m:t>
            </m:r>
          </m:e>
          <m:sub>
            <m:r>
              <m:rPr/>
              <m:t>a</m:t>
            </m:r>
          </m:sub>
        </m:sSub>
        <m:d>
          <m:dPr>
            <m:begChr m:val="("/>
            <m:endChr m:val=")"/>
            <m:sepChr m:val=""/>
            <m:ctrlPr/>
          </m:dPr>
          <m:e>
            <m:sSub>
              <m:sSubPr>
                <m:ctrlPr/>
              </m:sSubPr>
              <m:e>
                <m:r>
                  <m:rPr/>
                  <m:t>T</m:t>
                </m:r>
              </m:e>
              <m:sub>
                <m:r>
                  <m:rPr/>
                  <m:t>a</m:t>
                </m:r>
              </m:sub>
            </m:sSub>
          </m:e>
        </m:d>
      </m:oMath>
      <w:r>
        <w:t xml:space="preserve"> </w:t>
      </w:r>
      <w:r>
        <w:t xml:space="preserve">and</w:t>
      </w:r>
      <w:r>
        <w:t xml:space="preserve"> </w:t>
      </w:r>
      <m:oMath>
        <m:sSub>
          <m:sSubPr>
            <m:ctrlPr/>
          </m:sSubPr>
          <m:e>
            <m:r>
              <m:rPr/>
              <m:t>q</m:t>
            </m:r>
          </m:e>
          <m:sub>
            <m:r>
              <m:rPr/>
              <m:t>v</m:t>
            </m:r>
            <m:r>
              <m:rPr/>
              <m:t>s</m:t>
            </m:r>
          </m:sub>
        </m:sSub>
        <m:d>
          <m:dPr>
            <m:begChr m:val="("/>
            <m:endChr m:val=")"/>
            <m:sepChr m:val=""/>
            <m:ctrlPr/>
          </m:dPr>
          <m:e>
            <m:sSub>
              <m:sSubPr>
                <m:ctrlPr/>
              </m:sSubPr>
              <m:e>
                <m:r>
                  <m:rPr/>
                  <m:t>T</m:t>
                </m:r>
              </m:e>
              <m:sub>
                <m:r>
                  <m:rPr/>
                  <m:t>v</m:t>
                </m:r>
                <m:r>
                  <m:rPr/>
                  <m:t>s</m:t>
                </m:r>
              </m:sub>
            </m:sSub>
          </m:e>
        </m:d>
      </m:oMath>
      <w:r>
        <w:t xml:space="preserve"> </w:t>
      </w:r>
      <w:r>
        <w:t xml:space="preserve">are the specific humidity (-) at the air temperature and canopy snow temperature respectively. If the height of the air temperature measurement differs from the humidity measurement the</w:t>
      </w:r>
      <w:r>
        <w:t xml:space="preserve"> </w:t>
      </w:r>
      <m:oMath>
        <m:sSub>
          <m:sSubPr>
            <m:ctrlPr/>
          </m:sSubPr>
          <m:e>
            <m:r>
              <m:rPr/>
              <m:t>z</m:t>
            </m:r>
          </m:e>
          <m:sub>
            <m:r>
              <m:rPr/>
              <m:t>T</m:t>
            </m:r>
          </m:sub>
        </m:sSub>
      </m:oMath>
      <w:r>
        <w:t xml:space="preserve"> </w:t>
      </w:r>
      <w:r>
        <w:t xml:space="preserve">term in the Equation 9 should be adjusted to use the the humidity measurement height.</w:t>
      </w:r>
      <w:r/>
    </w:p>
    <w:p>
      <w:pPr>
        <w:pStyle w:val="783"/>
        <w:pBdr/>
        <w:spacing/>
        <w:ind/>
        <w:rPr/>
      </w:pPr>
      <w:r>
        <w:t xml:space="preserve">The above sensible and latent heat flux e</w:t>
      </w:r>
      <w:r>
        <w:t xml:space="preserve">quations assume neutral atmospheric stability conditions, i.e., nearly adiabatic conditions (no heat exchange) which may be appropriate for application with snow which is intercepted in the roughness elements where stability corrections may not be required</w:t>
      </w:r>
      <w:r>
        <w:t xml:space="preserve"> </w:t>
      </w:r>
      <w:r>
        <w:t xml:space="preserve">(Allan et al., 1998)</w:t>
      </w:r>
      <w:r>
        <w:t xml:space="preserve">. This is also supported by the uncertainty of stability correction in forest canopies</w:t>
      </w:r>
      <w:r>
        <w:t xml:space="preserve"> </w:t>
      </w:r>
      <w:r>
        <w:t xml:space="preserve">(Conway et al., 2018)</w:t>
      </w:r>
      <w:r>
        <w:t xml:space="preserve"> </w:t>
      </w:r>
      <w:r>
        <w:t xml:space="preserve">and mountain environments</w:t>
      </w:r>
      <w:r>
        <w:t xml:space="preserve"> </w:t>
      </w:r>
      <w:r>
        <w:t xml:space="preserve">(Helgason &amp; Pomeroy, 2012a)</w:t>
      </w:r>
      <w:r>
        <w:t xml:space="preserve">. Solving Equation 3 requires an iterative solution to determine</w:t>
      </w:r>
      <w:r>
        <w:t xml:space="preserve"> </w:t>
      </w:r>
      <m:oMath>
        <m:r>
          <m:rPr/>
          <m:t>Δ</m:t>
        </m:r>
        <m:sSub>
          <m:sSubPr>
            <m:ctrlPr/>
          </m:sSubPr>
          <m:e>
            <m:r>
              <m:rPr/>
              <m:t>T</m:t>
            </m:r>
          </m:e>
          <m:sub>
            <m:r>
              <m:rPr/>
              <m:t>v</m:t>
            </m:r>
            <m:r>
              <m:rPr/>
              <m:t>s</m:t>
            </m:r>
          </m:sub>
        </m:sSub>
      </m:oMath>
      <w:r>
        <w:t xml:space="preserve"> </w:t>
      </w:r>
      <w:r>
        <w:t xml:space="preserve">and the remaining terms which are also a function of</w:t>
      </w:r>
      <w:r>
        <w:t xml:space="preserve"> </w:t>
      </w:r>
      <m:oMath>
        <m:sSub>
          <m:sSubPr>
            <m:ctrlPr/>
          </m:sSubPr>
          <m:e>
            <m:r>
              <m:rPr/>
              <m:t>T</m:t>
            </m:r>
          </m:e>
          <m:sub>
            <m:r>
              <m:rPr/>
              <m:t>v</m:t>
            </m:r>
            <m:r>
              <m:rPr/>
              <m:t>s</m:t>
            </m:r>
          </m:sub>
        </m:sSub>
      </m:oMath>
      <w:r>
        <w:t xml:space="preserve">.</w:t>
      </w:r>
      <w:bookmarkEnd w:id="49"/>
      <w:r/>
    </w:p>
    <w:p>
      <w:pPr>
        <w:pStyle w:val="707"/>
        <w:pBdr/>
        <w:spacing/>
        <w:ind/>
        <w:rPr/>
      </w:pPr>
      <w:r/>
      <w:bookmarkStart w:id="50" w:name="Xece8b3b1a31928b9646678e3fc5caa85da9cd1b"/>
      <w:r>
        <w:t xml:space="preserve">5. Modelled Canopy Snow Energy and Mass Balance</w:t>
      </w:r>
      <w:r/>
    </w:p>
    <w:p>
      <w:pPr>
        <w:pStyle w:val="805"/>
        <w:pBdr/>
        <w:spacing/>
        <w:ind/>
        <w:rPr/>
      </w:pPr>
      <w:r>
        <w:t xml:space="preserve">Various models of the canopy snow energy and </w:t>
      </w:r>
      <w:r>
        <w:t xml:space="preserve">mass balance were implemented in CRHM to facilitate their evaluation. In addition to the updated canopy snow model presented in this study, hereafter referred to as CP25, three other canopy snow models were implemented in CRHM following previous studies by</w:t>
      </w:r>
      <w:r>
        <w:t xml:space="preserve"> </w:t>
      </w:r>
      <w:r>
        <w:t xml:space="preserve">Ellis et al. (2010)</w:t>
      </w:r>
      <w:r>
        <w:t xml:space="preserve"> </w:t>
      </w:r>
      <w:r>
        <w:t xml:space="preserve">and</w:t>
      </w:r>
      <w:r>
        <w:t xml:space="preserve"> </w:t>
      </w:r>
      <w:r>
        <w:t xml:space="preserve">Floyd (2012)</w:t>
      </w:r>
      <w:r>
        <w:t xml:space="preserve"> </w:t>
      </w:r>
      <w:r>
        <w:t xml:space="preserve">(E10),</w:t>
      </w:r>
      <w:r>
        <w:t xml:space="preserve"> </w:t>
      </w:r>
      <w:r>
        <w:t xml:space="preserve">Roesch et al. (2001)</w:t>
      </w:r>
      <w:r>
        <w:t xml:space="preserve"> </w:t>
      </w:r>
      <w:r>
        <w:t xml:space="preserve">(R01), and</w:t>
      </w:r>
      <w:r>
        <w:t xml:space="preserve"> </w:t>
      </w:r>
      <w:r>
        <w:t xml:space="preserve">Andreadis et al. (2009)</w:t>
      </w:r>
      <w:r>
        <w:t xml:space="preserve"> </w:t>
      </w:r>
      <w:r>
        <w:t xml:space="preserve">who built on observations by</w:t>
      </w:r>
      <w:r>
        <w:t xml:space="preserve"> </w:t>
      </w:r>
      <w:r>
        <w:t xml:space="preserve">Storck et al. (2002)</w:t>
      </w:r>
      <w:r>
        <w:t xml:space="preserve"> </w:t>
      </w:r>
      <w:r>
        <w:t xml:space="preserve">(SA09). The E10 model includes canopy snow sublimation as described in</w:t>
      </w:r>
      <w:r>
        <w:t xml:space="preserve"> </w:t>
      </w:r>
      <w:r>
        <w:t xml:space="preserve">Pomeroy et al. (1998)</w:t>
      </w:r>
      <w:r>
        <w:t xml:space="preserve">, canopy snow unloading based on a maximum canopy snow load and exponential decay over time from</w:t>
      </w:r>
      <w:r>
        <w:t xml:space="preserve"> </w:t>
      </w:r>
      <w:r>
        <w:t xml:space="preserve">Hedstrom &amp; Pomeroy (1998)</w:t>
      </w:r>
      <w:r>
        <w:t xml:space="preserve"> </w:t>
      </w:r>
      <w:r>
        <w:t xml:space="preserve">with modifications described in</w:t>
      </w:r>
      <w:r>
        <w:t xml:space="preserve"> </w:t>
      </w:r>
      <w:r>
        <w:t xml:space="preserve">Floyd (2012)</w:t>
      </w:r>
      <w:r>
        <w:t xml:space="preserve"> </w:t>
      </w:r>
      <w:r>
        <w:t xml:space="preserve">to handle canopy snow melt and drip processes using an ice-bulb temperature threshold. The R01 model represents canopy snow unloading and melt/drip using linear functions of wind speed and air temperature, as well as sublimation using the</w:t>
      </w:r>
      <w:r>
        <w:t xml:space="preserve"> </w:t>
      </w:r>
      <w:r>
        <w:t xml:space="preserve">Pomeroy et al. (1998)</w:t>
      </w:r>
      <w:r>
        <w:t xml:space="preserve"> </w:t>
      </w:r>
      <w:r>
        <w:t xml:space="preserve">parameterisation. The SA09 model unloads snow as a ratio of the canopy snowmelt rate, following observations by</w:t>
      </w:r>
      <w:r>
        <w:t xml:space="preserve"> </w:t>
      </w:r>
      <w:r>
        <w:t xml:space="preserve">Storck et al. (2002)</w:t>
      </w:r>
      <w:r>
        <w:t xml:space="preserve"> </w:t>
      </w:r>
      <w:r>
        <w:t xml:space="preserve">and does not include wind induced unloading. The snowmelt rate from Equation 3 was used to calculate the unloading rate for the</w:t>
      </w:r>
      <w:r>
        <w:t xml:space="preserve"> </w:t>
      </w:r>
      <w:r>
        <w:t xml:space="preserve">Andreadis et al. (2009)</w:t>
      </w:r>
      <w:r>
        <w:t xml:space="preserve"> </w:t>
      </w:r>
      <w:r>
        <w:t xml:space="preserve">unloading, and thus differs from the energy balance routine described in their study. Canopy snow sublimation in SA09 was represented based on the energy balance (Equation 3).</w:t>
      </w:r>
      <w:r/>
    </w:p>
    <w:p>
      <w:pPr>
        <w:pStyle w:val="783"/>
        <w:pBdr/>
        <w:spacing/>
        <w:ind/>
        <w:rPr/>
      </w:pPr>
      <w:r>
        <w:t xml:space="preserve">The retention of canopy snow meltwater differs between the four canopy snow models. For E10, liquid meltwater is not retained in the canopy and immediately drips before it can evaporate. The</w:t>
      </w:r>
      <w:r>
        <w:t xml:space="preserve"> </w:t>
      </w:r>
      <w:r>
        <w:t xml:space="preserve">Roesch et al. (2001)</w:t>
      </w:r>
      <w:r>
        <w:t xml:space="preserve"> </w:t>
      </w:r>
      <w:r>
        <w:t xml:space="preserve">air temperature function includes mass unloading of snow and drip and thus handles the removal of meltwater from the canopy and also does not evaporate. Canopy liquid water storage capacity (</w:t>
      </w:r>
      <m:oMath>
        <m:sSubSup>
          <m:sSubSupPr>
            <m:alnScr m:val="off"/>
            <m:ctrlPr/>
          </m:sSubSupPr>
          <m:e>
            <m:r>
              <m:rPr/>
              <m:t>L</m:t>
            </m:r>
          </m:e>
          <m:sub>
            <m:r>
              <m:rPr/>
              <m:t>m</m:t>
            </m:r>
            <m:r>
              <m:rPr/>
              <m:t>a</m:t>
            </m:r>
            <m:r>
              <m:rPr/>
              <m:t>x</m:t>
            </m:r>
          </m:sub>
          <m:sup>
            <m:r>
              <m:rPr/>
              <m:t>l</m:t>
            </m:r>
            <m:r>
              <m:rPr/>
              <m:t>i</m:t>
            </m:r>
            <m:r>
              <m:rPr/>
              <m:t>q</m:t>
            </m:r>
          </m:sup>
        </m:sSubSup>
      </m:oMath>
      <w:r>
        <w:t xml:space="preserve">, mm m</w:t>
      </w:r>
      <w:r>
        <w:rPr>
          <w:vertAlign w:val="superscript"/>
        </w:rPr>
        <w:t xml:space="preserve">-2</w:t>
      </w:r>
      <w:r>
        <w:t xml:space="preserve">) from</w:t>
      </w:r>
      <w:r>
        <w:t xml:space="preserve"> </w:t>
      </w:r>
      <w:r>
        <w:t xml:space="preserve">Andreadis et al. (2009)</w:t>
      </w:r>
      <w:r>
        <w:t xml:space="preserve"> </w:t>
      </w:r>
      <w:r>
        <w:t xml:space="preserve">and the updated routine from this study was calculated as:</w:t>
      </w:r>
      <w:r/>
    </w:p>
    <w:p>
      <w:pPr>
        <w:pStyle w:val="783"/>
        <w:pBdr/>
        <w:spacing/>
        <w:ind/>
        <w:rPr/>
      </w:pPr>
      <w:r/>
      <m:oMathPara>
        <m:oMathParaPr>
          <m:jc m:val="center"/>
        </m:oMathParaPr>
        <m:oMath>
          <m:sSubSup>
            <m:sSubSupPr>
              <m:alnScr m:val="off"/>
              <m:ctrlPr/>
            </m:sSubSupPr>
            <m:e>
              <m:r>
                <m:rPr/>
                <m:t>L</m:t>
              </m:r>
            </m:e>
            <m:sub>
              <m:r>
                <m:rPr/>
                <m:t>m</m:t>
              </m:r>
              <m:r>
                <m:rPr/>
                <m:t>a</m:t>
              </m:r>
              <m:r>
                <m:rPr/>
                <m:t>x</m:t>
              </m:r>
            </m:sub>
            <m:sup>
              <m:r>
                <m:rPr/>
                <m:t>l</m:t>
              </m:r>
              <m:r>
                <m:rPr/>
                <m:t>i</m:t>
              </m:r>
              <m:r>
                <m:rPr/>
                <m:t>q</m:t>
              </m:r>
            </m:sup>
          </m:sSubSup>
          <m:r>
            <m:rPr>
              <m:sty m:val="p"/>
            </m:rPr>
            <m:t>=</m:t>
          </m:r>
          <m:r>
            <m:rPr/>
            <m:t>L</m:t>
          </m:r>
          <m:r>
            <m:rPr/>
            <m:t>h</m:t>
          </m:r>
          <m:r>
            <m:rPr>
              <m:sty m:val="p"/>
            </m:rPr>
            <m:t>+</m:t>
          </m:r>
          <m:r>
            <m:rPr/>
            <m:t>n</m:t>
          </m:r>
          <m:r>
            <m:rPr/>
            <m:t>L</m:t>
          </m:r>
          <m:r>
            <m:rPr/>
            <m:t>A</m:t>
          </m:r>
          <m:r>
            <m:rPr/>
            <m:t>I</m:t>
          </m:r>
        </m:oMath>
      </m:oMathPara>
      <w:r/>
      <w:r/>
    </w:p>
    <w:p>
      <w:pPr>
        <w:pStyle w:val="805"/>
        <w:pBdr/>
        <w:spacing/>
        <w:ind/>
        <w:rPr/>
      </w:pPr>
      <w:r>
        <w:t xml:space="preserve">where</w:t>
      </w:r>
      <w:r>
        <w:t xml:space="preserve"> </w:t>
      </w:r>
      <m:oMath>
        <m:r>
          <m:rPr/>
          <m:t>n</m:t>
        </m:r>
      </m:oMath>
      <w:r>
        <w:t xml:space="preserve"> </w:t>
      </w:r>
      <w:r>
        <w:t xml:space="preserve">is the fraction of the intercepted snow mass that can hold meltwater and</w:t>
      </w:r>
      <w:r>
        <w:t xml:space="preserve"> </w:t>
      </w:r>
      <m:oMath>
        <m:r>
          <m:rPr/>
          <m:t>n</m:t>
        </m:r>
      </m:oMath>
      <w:r>
        <w:t xml:space="preserve"> </w:t>
      </w:r>
      <w:r>
        <w:t xml:space="preserve">is a storage constant of the vegetation elements.</w:t>
      </w:r>
      <w:r>
        <w:t xml:space="preserve"> </w:t>
      </w:r>
      <w:r>
        <w:t xml:space="preserve">Andreadis et al. (2009)</w:t>
      </w:r>
      <w:r>
        <w:t xml:space="preserve"> </w:t>
      </w:r>
      <w:r>
        <w:t xml:space="preserve">estimate</w:t>
      </w:r>
      <w:r>
        <w:t xml:space="preserve"> </w:t>
      </w:r>
      <m:oMath>
        <m:r>
          <m:rPr/>
          <m:t>h</m:t>
        </m:r>
      </m:oMath>
      <w:r>
        <w:t xml:space="preserve"> </w:t>
      </w:r>
      <w:r>
        <w:t xml:space="preserve">equal to 3.5% and</w:t>
      </w:r>
      <w:r>
        <w:t xml:space="preserve"> </w:t>
      </w:r>
      <m:oMath>
        <m:r>
          <m:rPr/>
          <m:t>n</m:t>
        </m:r>
        <m:r>
          <m:rPr>
            <m:sty m:val="p"/>
          </m:rPr>
          <m:t>=</m:t>
        </m:r>
        <m:sSup>
          <m:sSupPr>
            <m:ctrlPr/>
          </m:sSupPr>
          <m:e>
            <m:r>
              <m:rPr/>
              <m:t>e</m:t>
            </m:r>
          </m:e>
          <m:sup>
            <m:r>
              <m:rPr>
                <m:sty m:val="p"/>
              </m:rPr>
              <m:t>−</m:t>
            </m:r>
          </m:sup>
        </m:sSup>
        <m:r>
          <m:rPr/>
          <m:t>4</m:t>
        </m:r>
      </m:oMath>
      <w:r>
        <w:t xml:space="preserve">, and the two-sided LAI was used. In this study</w:t>
      </w:r>
      <w:r>
        <w:t xml:space="preserve"> </w:t>
      </w:r>
      <m:oMath>
        <m:r>
          <m:rPr/>
          <m:t>h</m:t>
        </m:r>
      </m:oMath>
      <w:r>
        <w:t xml:space="preserve"> </w:t>
      </w:r>
      <w:r>
        <w:t xml:space="preserve">was set equal to 1% and</w:t>
      </w:r>
      <w:r>
        <w:t xml:space="preserve"> </w:t>
      </w:r>
      <m:oMath>
        <m:r>
          <m:rPr/>
          <m:t>n</m:t>
        </m:r>
        <m:r>
          <m:rPr>
            <m:sty m:val="p"/>
          </m:rPr>
          <m:t>=</m:t>
        </m:r>
        <m:sSub>
          <m:sSubPr>
            <m:ctrlPr/>
          </m:sSubPr>
          <m:e>
            <m:r>
              <m:rPr/>
              <m:t>C</m:t>
            </m:r>
          </m:e>
          <m:sub>
            <m:r>
              <m:rPr/>
              <m:t>c</m:t>
            </m:r>
          </m:sub>
        </m:sSub>
        <m:r>
          <m:rPr>
            <m:sty m:val="p"/>
          </m:rPr>
          <m:t>⋅</m:t>
        </m:r>
        <m:r>
          <m:rPr/>
          <m:t>0.2</m:t>
        </m:r>
      </m:oMath>
      <w:r>
        <w:t xml:space="preserve"> </w:t>
      </w:r>
      <w:r>
        <w:t xml:space="preserve">and the one sided LAI was used, as in</w:t>
      </w:r>
      <w:r>
        <w:t xml:space="preserve"> </w:t>
      </w:r>
      <w:r>
        <w:t xml:space="preserve">Ellis et al. (2010)</w:t>
      </w:r>
      <w:r>
        <w:t xml:space="preserve"> </w:t>
      </w:r>
      <w:r>
        <w:t xml:space="preserve">for rainfall interception. The relative contributi</w:t>
      </w:r>
      <w:r>
        <w:t xml:space="preserve">ons of simulated canopy snowmelt (and associated unloading), sublimation, and wind-driven unloading from the CP25 model to total ablation were used to classify each events as either melt-dominated, sublimation-dominated, wind-dominated, or mixed-processes.</w:t>
      </w:r>
      <w:bookmarkEnd w:id="50"/>
      <w:r/>
    </w:p>
    <w:p>
      <w:pPr>
        <w:pStyle w:val="707"/>
        <w:pBdr/>
        <w:spacing/>
        <w:ind/>
        <w:rPr/>
      </w:pPr>
      <w:r/>
      <w:bookmarkStart w:id="92" w:name="results"/>
      <w:r>
        <w:t xml:space="preserve">6. Results</w:t>
      </w:r>
      <w:r/>
    </w:p>
    <w:p>
      <w:pPr>
        <w:pStyle w:val="708"/>
        <w:pBdr/>
        <w:spacing/>
        <w:ind/>
        <w:rPr/>
      </w:pPr>
      <w:r/>
      <w:bookmarkStart w:id="75" w:name="unloading-relationships"/>
      <w:r>
        <w:t xml:space="preserve">6.1 Unloading Relationships</w:t>
      </w:r>
      <w:r/>
    </w:p>
    <w:p>
      <w:pPr>
        <w:pStyle w:val="805"/>
        <w:pBdr/>
        <w:spacing/>
        <w:ind/>
        <w:rPr/>
      </w:pPr>
      <w:r>
        <w:t xml:space="preserve">Among the models tested, a multivariate linear regression incorporating canopy snow load, canopy snowmelt, and wind speed provided the highest explanatory power for predicting canopy snow unloading measured by subcanopy lysimeters (</w:t>
      </w:r>
      <w:r>
        <w:rPr>
          <w:i/>
          <w:iCs/>
        </w:rPr>
        <w:t xml:space="preserve">R</w:t>
      </w:r>
      <w:r>
        <w:rPr>
          <w:i/>
          <w:iCs/>
          <w:vertAlign w:val="superscript"/>
        </w:rPr>
        <w:t xml:space="preserve">2</w:t>
      </w:r>
      <w:r>
        <w:t xml:space="preserve"> </w:t>
      </w:r>
      <w:r>
        <w:t xml:space="preserve">= 0.71, p &lt; 0.05; Table 1). Shear stress was found to explain less variability compared to wind speed, when combined with canopy snow load and snowmelt (</w:t>
      </w:r>
      <w:r>
        <w:rPr>
          <w:i/>
          <w:iCs/>
        </w:rPr>
        <w:t xml:space="preserve">p</w:t>
      </w:r>
      <w:r>
        <w:t xml:space="preserve"> </w:t>
      </w:r>
      <w:r>
        <w:t xml:space="preserve">&lt; 0.05,</w:t>
      </w:r>
      <w:r>
        <w:t xml:space="preserve"> </w:t>
      </w:r>
      <w:r>
        <w:rPr>
          <w:i/>
          <w:iCs/>
        </w:rPr>
        <w:t xml:space="preserve">R</w:t>
      </w:r>
      <w:r>
        <w:rPr>
          <w:i/>
          <w:iCs/>
          <w:vertAlign w:val="superscript"/>
        </w:rPr>
        <w:t xml:space="preserve">2</w:t>
      </w:r>
      <w:r>
        <w:t xml:space="preserve"> </w:t>
      </w:r>
      <w:r>
        <w:t xml:space="preserve">= 0.71). Air temperature and canopy snow sublimation were not significant predictors in any model (</w:t>
      </w:r>
      <w:r>
        <w:rPr>
          <w:i/>
          <w:iCs/>
        </w:rPr>
        <w:t xml:space="preserve">p</w:t>
      </w:r>
      <w:r>
        <w:t xml:space="preserve"> </w:t>
      </w:r>
      <w:r>
        <w:t xml:space="preserve">&gt; 0.05; Table 1). A model including only canopy load, air temperature, and wind speed produced an</w:t>
      </w:r>
      <w:r>
        <w:t xml:space="preserve"> </w:t>
      </w:r>
      <w:r>
        <w:rPr>
          <w:i/>
          <w:iCs/>
        </w:rPr>
        <w:t xml:space="preserve">R</w:t>
      </w:r>
      <w:r>
        <w:rPr>
          <w:i/>
          <w:iCs/>
          <w:vertAlign w:val="superscript"/>
        </w:rPr>
        <w:t xml:space="preserve">2</w:t>
      </w:r>
      <w:r>
        <w:t xml:space="preserve"> </w:t>
      </w:r>
      <w:r>
        <w:t xml:space="preserve">of 0.11, though only canopy load and wind speed were statistically significant (</w:t>
      </w:r>
      <w:r>
        <w:rPr>
          <w:i/>
          <w:iCs/>
        </w:rPr>
        <w:t xml:space="preserve">p</w:t>
      </w:r>
      <w:r>
        <w:t xml:space="preserve"> </w:t>
      </w:r>
      <w:r>
        <w:t xml:space="preserve">&lt; 0.05). As shown in Fig. 4, unloading rates were substantially more variable across the canopy snowmelt and sublimation bins (0–2 mm hr</w:t>
      </w:r>
      <w:r>
        <w:rPr>
          <w:vertAlign w:val="superscript"/>
        </w:rPr>
        <w:t xml:space="preserve">-1</w:t>
      </w:r>
      <w:r>
        <w:t xml:space="preserve">) compared to the air temperature and wind speed bins (0–0.5 mm hr</w:t>
      </w:r>
      <w:r>
        <w:rPr>
          <w:vertAlign w:val="superscript"/>
        </w:rPr>
        <w:t xml:space="preserve">-1</w:t>
      </w:r>
      <w:r>
        <w:t xml:space="preserve">). Additional models with additional combinations of independent variables are presented in the supporting information section.</w:t>
      </w:r>
      <w:r/>
    </w:p>
    <w:p>
      <w:pPr>
        <w:pStyle w:val="783"/>
        <w:pBdr/>
        <w:spacing/>
        <w:ind/>
        <w:rPr/>
      </w:pPr>
      <w:r>
        <w:t xml:space="preserve">The mean unloading rate was observed to increase with increasing canopy load, air temperature, ice-bulb temperature depression, shear stress, and wi</w:t>
      </w:r>
      <w:r>
        <w:t xml:space="preserve">nd speed (Fig. 4). Despite the insignificant relationships, air temperature and canopy snow sublimation were positively associated with canopy snow unloading, though for sublimation this relationship was limited to sublimation rates between 0 and 0.3 mm hr</w:t>
      </w:r>
      <w:r>
        <w:rPr>
          <w:vertAlign w:val="superscript"/>
        </w:rPr>
        <w:t xml:space="preserve">-1</w:t>
      </w:r>
      <w:r>
        <w:t xml:space="preserve"> </w:t>
      </w:r>
      <w:r>
        <w:t xml:space="preserve">(Fig. 4). For sublimation rates higher than 0.3 mm hr</w:t>
      </w:r>
      <w:r>
        <w:rPr>
          <w:vertAlign w:val="superscript"/>
        </w:rPr>
        <w:t xml:space="preserve">-1</w:t>
      </w:r>
      <w:r>
        <w:t xml:space="preserve">, unloading is observed to decline with further increasing sublimation, as more canopy snow is partitioned to the atmosphere. A decline in unloading is observed for wind speed bins above 3 m s</w:t>
      </w:r>
      <w:r>
        <w:rPr>
          <w:vertAlign w:val="superscript"/>
        </w:rPr>
        <w:t xml:space="preserve">-1</w:t>
      </w:r>
      <w:r>
        <w:t xml:space="preserve"> </w:t>
      </w:r>
      <w:r>
        <w:t xml:space="preserve">possibly from some wind transport and entrainment into the atmosphere, and corresponding increased sublimation rates.</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Bdr/>
              <w:spacing w:before="200"/>
              <w:ind/>
              <w:jc w:val="left"/>
              <w:rPr/>
            </w:pPr>
            <w:r/>
            <w:bookmarkStart w:id="51" w:name="tbl-q-unld-bins"/>
            <w:r>
              <w:t xml:space="preserve">Table 1: Summary of multivariate linear regression results evaluating all combinations of predictor variables for canopy snow unloading including: canopy load (</w:t>
            </w:r>
            <m:oMath>
              <m:r>
                <m:rPr/>
                <m:t>L</m:t>
              </m:r>
            </m:oMath>
            <w:r>
              <w:t xml:space="preserve">), wind speed (</w:t>
            </w:r>
            <m:oMath>
              <m:r>
                <m:rPr/>
                <m:t>u</m:t>
              </m:r>
            </m:oMath>
            <w:r>
              <w:t xml:space="preserve">), canopy snowmelt rate (</w:t>
            </w:r>
            <m:oMath>
              <m:sSub>
                <m:sSubPr>
                  <m:ctrlPr/>
                </m:sSubPr>
                <m:e>
                  <m:r>
                    <m:rPr/>
                    <m:t>q</m:t>
                  </m:r>
                </m:e>
                <m:sub>
                  <m:r>
                    <m:rPr/>
                    <m:t>m</m:t>
                  </m:r>
                  <m:r>
                    <m:rPr/>
                    <m:t>e</m:t>
                  </m:r>
                  <m:r>
                    <m:rPr/>
                    <m:t>l</m:t>
                  </m:r>
                  <m:r>
                    <m:rPr/>
                    <m:t>t</m:t>
                  </m:r>
                </m:sub>
              </m:sSub>
            </m:oMath>
            <w:r>
              <w:t xml:space="preserve">), canopy snow sublimation rate (</w:t>
            </w:r>
            <m:oMath>
              <m:sSub>
                <m:sSubPr>
                  <m:ctrlPr/>
                </m:sSubPr>
                <m:e>
                  <m:r>
                    <m:rPr/>
                    <m:t>q</m:t>
                  </m:r>
                </m:e>
                <m:sub>
                  <m:r>
                    <m:rPr/>
                    <m:t>s</m:t>
                  </m:r>
                  <m:r>
                    <m:rPr/>
                    <m:t>u</m:t>
                  </m:r>
                  <m:r>
                    <m:rPr/>
                    <m:t>b</m:t>
                  </m:r>
                  <m:r>
                    <m:rPr/>
                    <m:t>l</m:t>
                  </m:r>
                </m:sub>
              </m:sSub>
            </m:oMath>
            <w:r>
              <w:t xml:space="preserve">), and air temperature (</w:t>
            </w:r>
            <m:oMath>
              <m:sSub>
                <m:sSubPr>
                  <m:ctrlPr/>
                </m:sSubPr>
                <m:e>
                  <m:r>
                    <m:rPr/>
                    <m:t>T</m:t>
                  </m:r>
                </m:e>
                <m:sub>
                  <m:r>
                    <m:rPr/>
                    <m:t>a</m:t>
                  </m:r>
                </m:sub>
              </m:sSub>
            </m:oMath>
            <w:r>
              <w:t xml:space="preserve">). Columns L to Ta show the coefficient estimate for each respective term, and the significance of each term is shown in brackets. Significance codes: * = p &lt; 0.05; ns = not significant (p &gt; 0.05). The models are ranked by their corresponding AIC value.</w:t>
            </w:r>
            <w:r/>
          </w:p>
          <w:tbl>
            <w:tblPr>
              <w:tblW w:w="4996" w:type="pct"/>
              <w:tblBorders/>
              <w:tblLayout w:type="fixed"/>
              <w:tblLook w:val="0020" w:firstRow="1" w:lastRow="0" w:firstColumn="0" w:lastColumn="0" w:noHBand="0" w:noVBand="0"/>
            </w:tblPr>
            <w:tblGrid>
              <w:gridCol w:w="876"/>
              <w:gridCol w:w="1168"/>
              <w:gridCol w:w="1071"/>
              <w:gridCol w:w="1168"/>
              <w:gridCol w:w="1071"/>
              <w:gridCol w:w="1168"/>
              <w:gridCol w:w="1071"/>
              <w:gridCol w:w="1071"/>
              <w:gridCol w:w="681"/>
              <w:gridCol w:w="681"/>
            </w:tblGrid>
            <w:tr>
              <w:trPr>
                <w:trHeight w:val="255"/>
                <w:tblHeader/>
              </w:trPr>
              <w:tc>
                <w:tcPr>
                  <w:tcBorders/>
                  <w:tcW w:w="0" w:type="auto"/>
                  <w:textDirection w:val="lrTb"/>
                  <w:noWrap w:val="false"/>
                </w:tcPr>
                <w:p>
                  <w:pPr>
                    <w:pStyle w:val="806"/>
                    <w:pBdr/>
                    <w:spacing/>
                    <w:ind/>
                    <w:jc w:val="center"/>
                    <w:rPr/>
                  </w:pPr>
                  <w:r>
                    <w:t xml:space="preserve">Model Name</w:t>
                  </w:r>
                  <w:r/>
                </w:p>
              </w:tc>
              <w:tc>
                <w:tcPr>
                  <w:tcBorders/>
                  <w:tcW w:w="0" w:type="auto"/>
                  <w:textDirection w:val="lrTb"/>
                  <w:noWrap w:val="false"/>
                </w:tcPr>
                <w:p>
                  <w:pPr>
                    <w:pStyle w:val="806"/>
                    <w:pBdr/>
                    <w:spacing/>
                    <w:ind/>
                    <w:jc w:val="center"/>
                    <w:rPr/>
                  </w:pPr>
                  <w:r>
                    <w:t xml:space="preserve">Intercept</w:t>
                  </w:r>
                  <w:r/>
                </w:p>
              </w:tc>
              <w:tc>
                <w:tcPr>
                  <w:tcBorders/>
                  <w:tcW w:w="0" w:type="auto"/>
                  <w:textDirection w:val="lrTb"/>
                  <w:noWrap w:val="false"/>
                </w:tcPr>
                <w:p>
                  <w:pPr>
                    <w:pStyle w:val="806"/>
                    <w:pBdr/>
                    <w:spacing/>
                    <w:ind/>
                    <w:jc w:val="center"/>
                    <w:rPr/>
                  </w:pPr>
                  <w:r/>
                  <m:oMathPara>
                    <m:oMathParaPr/>
                    <m:oMath>
                      <m:r>
                        <m:rPr/>
                        <m:t>L</m:t>
                      </m:r>
                    </m:oMath>
                  </m:oMathPara>
                  <w:r/>
                  <w:r/>
                </w:p>
              </w:tc>
              <w:tc>
                <w:tcPr>
                  <w:tcBorders/>
                  <w:tcW w:w="0" w:type="auto"/>
                  <w:textDirection w:val="lrTb"/>
                  <w:noWrap w:val="false"/>
                </w:tcPr>
                <w:p>
                  <w:pPr>
                    <w:pStyle w:val="806"/>
                    <w:pBdr/>
                    <w:spacing/>
                    <w:ind/>
                    <w:jc w:val="center"/>
                    <w:rPr/>
                  </w:pPr>
                  <w:r/>
                  <m:oMathPara>
                    <m:oMathParaPr/>
                    <m:oMath>
                      <m:r>
                        <m:rPr/>
                        <m:t>u</m:t>
                      </m:r>
                    </m:oMath>
                  </m:oMathPara>
                  <w:r/>
                  <w:r/>
                </w:p>
              </w:tc>
              <w:tc>
                <w:tcPr>
                  <w:tcBorders/>
                  <w:tcW w:w="0" w:type="auto"/>
                  <w:textDirection w:val="lrTb"/>
                  <w:noWrap w:val="false"/>
                </w:tcPr>
                <w:p>
                  <w:pPr>
                    <w:pStyle w:val="806"/>
                    <w:pBdr/>
                    <w:spacing/>
                    <w:ind/>
                    <w:jc w:val="center"/>
                    <w:rPr/>
                  </w:pPr>
                  <w:r/>
                  <m:oMathPara>
                    <m:oMathParaPr/>
                    <m:oMath>
                      <m:sSub>
                        <m:sSubPr>
                          <m:ctrlPr/>
                        </m:sSubPr>
                        <m:e>
                          <m:r>
                            <m:rPr/>
                            <m:t>q</m:t>
                          </m:r>
                        </m:e>
                        <m:sub>
                          <m:r>
                            <m:rPr/>
                            <m:t>m</m:t>
                          </m:r>
                          <m:r>
                            <m:rPr/>
                            <m:t>e</m:t>
                          </m:r>
                          <m:r>
                            <m:rPr/>
                            <m:t>l</m:t>
                          </m:r>
                          <m:r>
                            <m:rPr/>
                            <m:t>t</m:t>
                          </m:r>
                        </m:sub>
                      </m:sSub>
                    </m:oMath>
                  </m:oMathPara>
                  <w:r/>
                  <w:r/>
                </w:p>
              </w:tc>
              <w:tc>
                <w:tcPr>
                  <w:tcBorders/>
                  <w:tcW w:w="0" w:type="auto"/>
                  <w:textDirection w:val="lrTb"/>
                  <w:noWrap w:val="false"/>
                </w:tcPr>
                <w:p>
                  <w:pPr>
                    <w:pStyle w:val="806"/>
                    <w:pBdr/>
                    <w:spacing/>
                    <w:ind/>
                    <w:jc w:val="center"/>
                    <w:rPr/>
                  </w:pPr>
                  <w:r/>
                  <m:oMathPara>
                    <m:oMathParaPr/>
                    <m:oMath>
                      <m:sSub>
                        <m:sSubPr>
                          <m:ctrlPr/>
                        </m:sSubPr>
                        <m:e>
                          <m:r>
                            <m:rPr/>
                            <m:t>q</m:t>
                          </m:r>
                        </m:e>
                        <m:sub>
                          <m:r>
                            <m:rPr/>
                            <m:t>s</m:t>
                          </m:r>
                          <m:r>
                            <m:rPr/>
                            <m:t>u</m:t>
                          </m:r>
                          <m:r>
                            <m:rPr/>
                            <m:t>b</m:t>
                          </m:r>
                          <m:r>
                            <m:rPr/>
                            <m:t>l</m:t>
                          </m:r>
                        </m:sub>
                      </m:sSub>
                    </m:oMath>
                  </m:oMathPara>
                  <w:r/>
                  <w:r/>
                </w:p>
              </w:tc>
              <w:tc>
                <w:tcPr>
                  <w:tcBorders/>
                  <w:tcW w:w="0" w:type="auto"/>
                  <w:textDirection w:val="lrTb"/>
                  <w:noWrap w:val="false"/>
                </w:tcPr>
                <w:p>
                  <w:pPr>
                    <w:pStyle w:val="806"/>
                    <w:pBdr/>
                    <w:spacing/>
                    <w:ind/>
                    <w:jc w:val="center"/>
                    <w:rPr/>
                  </w:pPr>
                  <w:r/>
                  <m:oMathPara>
                    <m:oMathParaPr/>
                    <m:oMath>
                      <m:r>
                        <m:rPr/>
                        <m:t>τ</m:t>
                      </m:r>
                    </m:oMath>
                  </m:oMathPara>
                  <w:r/>
                  <w:r/>
                </w:p>
              </w:tc>
              <w:tc>
                <w:tcPr>
                  <w:tcBorders/>
                  <w:tcW w:w="0" w:type="auto"/>
                  <w:textDirection w:val="lrTb"/>
                  <w:noWrap w:val="false"/>
                </w:tcPr>
                <w:p>
                  <w:pPr>
                    <w:pStyle w:val="806"/>
                    <w:pBdr/>
                    <w:spacing/>
                    <w:ind/>
                    <w:jc w:val="center"/>
                    <w:rPr/>
                  </w:pPr>
                  <w:r/>
                  <m:oMathPara>
                    <m:oMathParaPr/>
                    <m:oMath>
                      <m:sSub>
                        <m:sSubPr>
                          <m:ctrlPr/>
                        </m:sSubPr>
                        <m:e>
                          <m:r>
                            <m:rPr/>
                            <m:t>T</m:t>
                          </m:r>
                        </m:e>
                        <m:sub>
                          <m:r>
                            <m:rPr/>
                            <m:t>a</m:t>
                          </m:r>
                        </m:sub>
                      </m:sSub>
                    </m:oMath>
                  </m:oMathPara>
                  <w:r/>
                  <w:r/>
                </w:p>
              </w:tc>
              <w:tc>
                <w:tcPr>
                  <w:tcBorders/>
                  <w:tcW w:w="0" w:type="auto"/>
                  <w:textDirection w:val="lrTb"/>
                  <w:noWrap w:val="false"/>
                </w:tcPr>
                <w:p>
                  <w:pPr>
                    <w:pStyle w:val="806"/>
                    <w:pBdr/>
                    <w:spacing/>
                    <w:ind/>
                    <w:jc w:val="center"/>
                    <w:rPr/>
                  </w:pPr>
                  <w:r/>
                  <m:oMathPara>
                    <m:oMathParaPr/>
                    <m:oMath>
                      <m:sSup>
                        <m:sSupPr>
                          <m:ctrlPr/>
                        </m:sSupPr>
                        <m:e>
                          <m:r>
                            <m:rPr/>
                            <m:t>R</m:t>
                          </m:r>
                        </m:e>
                        <m:sup>
                          <m:r>
                            <m:rPr/>
                            <m:t>2</m:t>
                          </m:r>
                        </m:sup>
                      </m:sSup>
                    </m:oMath>
                  </m:oMathPara>
                  <w:r/>
                  <w:r/>
                </w:p>
              </w:tc>
              <w:tc>
                <w:tcPr>
                  <w:tcBorders/>
                  <w:tcW w:w="0" w:type="auto"/>
                  <w:textDirection w:val="lrTb"/>
                  <w:noWrap w:val="false"/>
                </w:tcPr>
                <w:p>
                  <w:pPr>
                    <w:pStyle w:val="806"/>
                    <w:pBdr/>
                    <w:spacing/>
                    <w:ind/>
                    <w:jc w:val="center"/>
                    <w:rPr/>
                  </w:pPr>
                  <w:r>
                    <w:t xml:space="preserve">AIC</w:t>
                  </w:r>
                  <w:r/>
                </w:p>
              </w:tc>
            </w:tr>
            <w:tr>
              <w:trPr>
                <w:trHeight w:val="255"/>
              </w:trPr>
              <w:tc>
                <w:tcPr>
                  <w:tcBorders/>
                  <w:tcW w:w="0" w:type="auto"/>
                  <w:textDirection w:val="lrTb"/>
                  <w:noWrap w:val="false"/>
                </w:tcPr>
                <w:p>
                  <w:pPr>
                    <w:pStyle w:val="806"/>
                    <w:pBdr/>
                    <w:spacing/>
                    <w:ind/>
                    <w:jc w:val="center"/>
                    <w:rPr/>
                  </w:pPr>
                  <w:r>
                    <w:t xml:space="preserve">M1</w:t>
                  </w:r>
                  <w:r/>
                </w:p>
              </w:tc>
              <w:tc>
                <w:tcPr>
                  <w:tcBorders/>
                  <w:tcW w:w="0" w:type="auto"/>
                  <w:textDirection w:val="lrTb"/>
                  <w:noWrap w:val="false"/>
                </w:tcPr>
                <w:p>
                  <w:pPr>
                    <w:pStyle w:val="806"/>
                    <w:pBdr/>
                    <w:spacing/>
                    <w:ind/>
                    <w:jc w:val="center"/>
                    <w:rPr/>
                  </w:pPr>
                  <w:r>
                    <w:t xml:space="preserve">-0.11 (ns)</w:t>
                  </w:r>
                  <w:r/>
                </w:p>
              </w:tc>
              <w:tc>
                <w:tcPr>
                  <w:tcBorders/>
                  <w:tcW w:w="0" w:type="auto"/>
                  <w:textDirection w:val="lrTb"/>
                  <w:noWrap w:val="false"/>
                </w:tcPr>
                <w:p>
                  <w:pPr>
                    <w:pStyle w:val="806"/>
                    <w:pBdr/>
                    <w:spacing/>
                    <w:ind/>
                    <w:jc w:val="center"/>
                    <w:rPr/>
                  </w:pPr>
                  <w:r>
                    <w:t xml:space="preserve">0.02 (*)</w:t>
                  </w:r>
                  <w:r/>
                </w:p>
              </w:tc>
              <w:tc>
                <w:tcPr>
                  <w:tcBorders/>
                  <w:tcW w:w="0" w:type="auto"/>
                  <w:textDirection w:val="lrTb"/>
                  <w:noWrap w:val="false"/>
                </w:tcPr>
                <w:p>
                  <w:pPr>
                    <w:pStyle w:val="806"/>
                    <w:pBdr/>
                    <w:spacing/>
                    <w:ind/>
                    <w:jc w:val="center"/>
                    <w:rPr/>
                  </w:pPr>
                  <w:r>
                    <w:t xml:space="preserve">0.08 (*)</w:t>
                  </w:r>
                  <w:r/>
                </w:p>
              </w:tc>
              <w:tc>
                <w:tcPr>
                  <w:tcBorders/>
                  <w:tcW w:w="0" w:type="auto"/>
                  <w:textDirection w:val="lrTb"/>
                  <w:noWrap w:val="false"/>
                </w:tcPr>
                <w:p>
                  <w:pPr>
                    <w:pStyle w:val="806"/>
                    <w:pBdr/>
                    <w:spacing/>
                    <w:ind/>
                    <w:jc w:val="center"/>
                    <w:rPr/>
                  </w:pPr>
                  <w:r>
                    <w:t xml:space="preserve">0.40 (*)</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0.79</w:t>
                  </w:r>
                  <w:r/>
                </w:p>
              </w:tc>
              <w:tc>
                <w:tcPr>
                  <w:tcBorders/>
                  <w:tcW w:w="0" w:type="auto"/>
                  <w:textDirection w:val="lrTb"/>
                  <w:noWrap w:val="false"/>
                </w:tcPr>
                <w:p>
                  <w:pPr>
                    <w:pStyle w:val="806"/>
                    <w:pBdr/>
                    <w:spacing/>
                    <w:ind/>
                    <w:jc w:val="center"/>
                    <w:rPr/>
                  </w:pPr>
                  <w:r>
                    <w:t xml:space="preserve">-12.8</w:t>
                  </w:r>
                  <w:r/>
                </w:p>
              </w:tc>
            </w:tr>
            <w:tr>
              <w:trPr>
                <w:trHeight w:val="255"/>
              </w:trPr>
              <w:tc>
                <w:tcPr>
                  <w:tcBorders/>
                  <w:tcW w:w="0" w:type="auto"/>
                  <w:textDirection w:val="lrTb"/>
                  <w:noWrap w:val="false"/>
                </w:tcPr>
                <w:p>
                  <w:pPr>
                    <w:pStyle w:val="806"/>
                    <w:pBdr/>
                    <w:spacing/>
                    <w:ind/>
                    <w:jc w:val="center"/>
                    <w:rPr/>
                  </w:pPr>
                  <w:r>
                    <w:t xml:space="preserve">M4</w:t>
                  </w:r>
                  <w:r/>
                </w:p>
              </w:tc>
              <w:tc>
                <w:tcPr>
                  <w:tcBorders/>
                  <w:tcW w:w="0" w:type="auto"/>
                  <w:textDirection w:val="lrTb"/>
                  <w:noWrap w:val="false"/>
                </w:tcPr>
                <w:p>
                  <w:pPr>
                    <w:pStyle w:val="806"/>
                    <w:pBdr/>
                    <w:spacing/>
                    <w:ind/>
                    <w:jc w:val="center"/>
                    <w:rPr/>
                  </w:pPr>
                  <w:r>
                    <w:t xml:space="preserve">-0.08 (ns)</w:t>
                  </w:r>
                  <w:r/>
                </w:p>
              </w:tc>
              <w:tc>
                <w:tcPr>
                  <w:tcBorders/>
                  <w:tcW w:w="0" w:type="auto"/>
                  <w:textDirection w:val="lrTb"/>
                  <w:noWrap w:val="false"/>
                </w:tcPr>
                <w:p>
                  <w:pPr>
                    <w:pStyle w:val="806"/>
                    <w:pBdr/>
                    <w:spacing/>
                    <w:ind/>
                    <w:jc w:val="center"/>
                    <w:rPr/>
                  </w:pPr>
                  <w:r>
                    <w:t xml:space="preserve">0.04 (*)</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0.39 (*)</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0.75 (*)</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0.71</w:t>
                  </w:r>
                  <w:r/>
                </w:p>
              </w:tc>
              <w:tc>
                <w:tcPr>
                  <w:tcBorders/>
                  <w:tcW w:w="0" w:type="auto"/>
                  <w:textDirection w:val="lrTb"/>
                  <w:noWrap w:val="false"/>
                </w:tcPr>
                <w:p>
                  <w:pPr>
                    <w:pStyle w:val="806"/>
                    <w:pBdr/>
                    <w:spacing/>
                    <w:ind/>
                    <w:jc w:val="center"/>
                    <w:rPr/>
                  </w:pPr>
                  <w:r>
                    <w:t xml:space="preserve">5.5</w:t>
                  </w:r>
                  <w:r/>
                </w:p>
              </w:tc>
            </w:tr>
            <w:tr>
              <w:trPr>
                <w:trHeight w:val="255"/>
              </w:trPr>
              <w:tc>
                <w:tcPr>
                  <w:tcBorders/>
                  <w:tcW w:w="0" w:type="auto"/>
                  <w:textDirection w:val="lrTb"/>
                  <w:noWrap w:val="false"/>
                </w:tcPr>
                <w:p>
                  <w:pPr>
                    <w:pStyle w:val="806"/>
                    <w:pBdr/>
                    <w:spacing/>
                    <w:ind/>
                    <w:jc w:val="center"/>
                    <w:rPr/>
                  </w:pPr>
                  <w:r>
                    <w:t xml:space="preserve">M7</w:t>
                  </w:r>
                  <w:r/>
                </w:p>
              </w:tc>
              <w:tc>
                <w:tcPr>
                  <w:tcBorders/>
                  <w:tcW w:w="0" w:type="auto"/>
                  <w:textDirection w:val="lrTb"/>
                  <w:noWrap w:val="false"/>
                </w:tcPr>
                <w:p>
                  <w:pPr>
                    <w:pStyle w:val="806"/>
                    <w:pBdr/>
                    <w:spacing/>
                    <w:ind/>
                    <w:jc w:val="center"/>
                    <w:rPr/>
                  </w:pPr>
                  <w:r>
                    <w:t xml:space="preserve">0.13 (ns)</w:t>
                  </w:r>
                  <w:r/>
                </w:p>
              </w:tc>
              <w:tc>
                <w:tcPr>
                  <w:tcBorders/>
                  <w:tcW w:w="0" w:type="auto"/>
                  <w:textDirection w:val="lrTb"/>
                  <w:noWrap w:val="false"/>
                </w:tcPr>
                <w:p>
                  <w:pPr>
                    <w:pStyle w:val="806"/>
                    <w:pBdr/>
                    <w:spacing/>
                    <w:ind/>
                    <w:jc w:val="center"/>
                    <w:rPr/>
                  </w:pPr>
                  <w:r>
                    <w:t xml:space="preserve">0.02 (*)</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0.32 (*)</w:t>
                  </w:r>
                  <w:r/>
                </w:p>
              </w:tc>
              <w:tc>
                <w:tcPr>
                  <w:tcBorders/>
                  <w:tcW w:w="0" w:type="auto"/>
                  <w:textDirection w:val="lrTb"/>
                  <w:noWrap w:val="false"/>
                </w:tcPr>
                <w:p>
                  <w:pPr>
                    <w:pStyle w:val="806"/>
                    <w:pBdr/>
                    <w:spacing/>
                    <w:ind/>
                    <w:jc w:val="center"/>
                    <w:rPr/>
                  </w:pPr>
                  <w:r>
                    <w:t xml:space="preserve">-0.22 (ns)</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0.54</w:t>
                  </w:r>
                  <w:r/>
                </w:p>
              </w:tc>
              <w:tc>
                <w:tcPr>
                  <w:tcBorders/>
                  <w:tcW w:w="0" w:type="auto"/>
                  <w:textDirection w:val="lrTb"/>
                  <w:noWrap w:val="false"/>
                </w:tcPr>
                <w:p>
                  <w:pPr>
                    <w:pStyle w:val="806"/>
                    <w:pBdr/>
                    <w:spacing/>
                    <w:ind/>
                    <w:jc w:val="center"/>
                    <w:rPr/>
                  </w:pPr>
                  <w:r>
                    <w:t xml:space="preserve">10.0</w:t>
                  </w:r>
                  <w:r/>
                </w:p>
              </w:tc>
            </w:tr>
            <w:tr>
              <w:trPr>
                <w:trHeight w:val="255"/>
              </w:trPr>
              <w:tc>
                <w:tcPr>
                  <w:tcBorders/>
                  <w:tcW w:w="0" w:type="auto"/>
                  <w:textDirection w:val="lrTb"/>
                  <w:noWrap w:val="false"/>
                </w:tcPr>
                <w:p>
                  <w:pPr>
                    <w:pStyle w:val="806"/>
                    <w:pBdr/>
                    <w:spacing/>
                    <w:ind/>
                    <w:jc w:val="center"/>
                    <w:rPr/>
                  </w:pPr>
                  <w:r>
                    <w:t xml:space="preserve">M10</w:t>
                  </w:r>
                  <w:r/>
                </w:p>
              </w:tc>
              <w:tc>
                <w:tcPr>
                  <w:tcBorders/>
                  <w:tcW w:w="0" w:type="auto"/>
                  <w:textDirection w:val="lrTb"/>
                  <w:noWrap w:val="false"/>
                </w:tcPr>
                <w:p>
                  <w:pPr>
                    <w:pStyle w:val="806"/>
                    <w:pBdr/>
                    <w:spacing/>
                    <w:ind/>
                    <w:jc w:val="center"/>
                    <w:rPr/>
                  </w:pPr>
                  <w:r>
                    <w:t xml:space="preserve">-0.06 (ns)</w:t>
                  </w:r>
                  <w:r/>
                </w:p>
              </w:tc>
              <w:tc>
                <w:tcPr>
                  <w:tcBorders/>
                  <w:tcW w:w="0" w:type="auto"/>
                  <w:textDirection w:val="lrTb"/>
                  <w:noWrap w:val="false"/>
                </w:tcPr>
                <w:p>
                  <w:pPr>
                    <w:pStyle w:val="806"/>
                    <w:pBdr/>
                    <w:spacing/>
                    <w:ind/>
                    <w:jc w:val="center"/>
                    <w:rPr/>
                  </w:pPr>
                  <w:r>
                    <w:t xml:space="preserve">0.02 (*)</w:t>
                  </w:r>
                  <w:r/>
                </w:p>
              </w:tc>
              <w:tc>
                <w:tcPr>
                  <w:tcBorders/>
                  <w:tcW w:w="0" w:type="auto"/>
                  <w:textDirection w:val="lrTb"/>
                  <w:noWrap w:val="false"/>
                </w:tcPr>
                <w:p>
                  <w:pPr>
                    <w:pStyle w:val="806"/>
                    <w:pBdr/>
                    <w:spacing/>
                    <w:ind/>
                    <w:jc w:val="center"/>
                    <w:rPr/>
                  </w:pPr>
                  <w:r>
                    <w:t xml:space="preserve">0.08 (*)</w:t>
                  </w:r>
                  <w:r/>
                </w:p>
              </w:tc>
              <w:tc>
                <w:tcPr>
                  <w:tcBorders/>
                  <w:tcW w:w="0" w:type="auto"/>
                  <w:textDirection w:val="lrTb"/>
                  <w:noWrap w:val="false"/>
                </w:tcPr>
                <w:p>
                  <w:pPr>
                    <w:pStyle w:val="806"/>
                    <w:pBdr/>
                    <w:spacing/>
                    <w:ind/>
                    <w:jc w:val="center"/>
                    <w:rPr/>
                  </w:pPr>
                  <w:r>
                    <w:t xml:space="preserve">0.38 (*)</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0.00 (ns)</w:t>
                  </w:r>
                  <w:r/>
                </w:p>
              </w:tc>
              <w:tc>
                <w:tcPr>
                  <w:tcBorders/>
                  <w:tcW w:w="0" w:type="auto"/>
                  <w:textDirection w:val="lrTb"/>
                  <w:noWrap w:val="false"/>
                </w:tcPr>
                <w:p>
                  <w:pPr>
                    <w:pStyle w:val="806"/>
                    <w:pBdr/>
                    <w:spacing/>
                    <w:ind/>
                    <w:jc w:val="center"/>
                    <w:rPr/>
                  </w:pPr>
                  <w:r>
                    <w:t xml:space="preserve">0.52</w:t>
                  </w:r>
                  <w:r/>
                </w:p>
              </w:tc>
              <w:tc>
                <w:tcPr>
                  <w:tcBorders/>
                  <w:tcW w:w="0" w:type="auto"/>
                  <w:textDirection w:val="lrTb"/>
                  <w:noWrap w:val="false"/>
                </w:tcPr>
                <w:p>
                  <w:pPr>
                    <w:pStyle w:val="806"/>
                    <w:pBdr/>
                    <w:spacing/>
                    <w:ind/>
                    <w:jc w:val="center"/>
                    <w:rPr/>
                  </w:pPr>
                  <w:r>
                    <w:t xml:space="preserve">-4.4</w:t>
                  </w:r>
                  <w:r/>
                </w:p>
              </w:tc>
            </w:tr>
            <w:tr>
              <w:trPr>
                <w:trHeight w:val="255"/>
              </w:trPr>
              <w:tc>
                <w:tcPr>
                  <w:tcBorders/>
                  <w:tcW w:w="0" w:type="auto"/>
                  <w:textDirection w:val="lrTb"/>
                  <w:noWrap w:val="false"/>
                </w:tcPr>
                <w:p>
                  <w:pPr>
                    <w:pStyle w:val="806"/>
                    <w:pBdr/>
                    <w:spacing/>
                    <w:ind/>
                    <w:jc w:val="center"/>
                    <w:rPr/>
                  </w:pPr>
                  <w:r>
                    <w:t xml:space="preserve">M24</w:t>
                  </w:r>
                  <w:r/>
                </w:p>
              </w:tc>
              <w:tc>
                <w:tcPr>
                  <w:tcBorders/>
                  <w:tcW w:w="0" w:type="auto"/>
                  <w:textDirection w:val="lrTb"/>
                  <w:noWrap w:val="false"/>
                </w:tcPr>
                <w:p>
                  <w:pPr>
                    <w:pStyle w:val="806"/>
                    <w:pBdr/>
                    <w:spacing/>
                    <w:ind/>
                    <w:jc w:val="center"/>
                    <w:rPr/>
                  </w:pPr>
                  <w:r>
                    <w:t xml:space="preserve">-0.00 (ns)</w:t>
                  </w:r>
                  <w:r/>
                </w:p>
              </w:tc>
              <w:tc>
                <w:tcPr>
                  <w:tcBorders/>
                  <w:tcW w:w="0" w:type="auto"/>
                  <w:textDirection w:val="lrTb"/>
                  <w:noWrap w:val="false"/>
                </w:tcPr>
                <w:p>
                  <w:pPr>
                    <w:pStyle w:val="806"/>
                    <w:pBdr/>
                    <w:spacing/>
                    <w:ind/>
                    <w:jc w:val="center"/>
                    <w:rPr/>
                  </w:pPr>
                  <w:r>
                    <w:t xml:space="preserve">0.02 (*)</w:t>
                  </w:r>
                  <w:r/>
                </w:p>
              </w:tc>
              <w:tc>
                <w:tcPr>
                  <w:tcBorders/>
                  <w:tcW w:w="0" w:type="auto"/>
                  <w:textDirection w:val="lrTb"/>
                  <w:noWrap w:val="false"/>
                </w:tcPr>
                <w:p>
                  <w:pPr>
                    <w:pStyle w:val="806"/>
                    <w:pBdr/>
                    <w:spacing/>
                    <w:ind/>
                    <w:jc w:val="center"/>
                    <w:rPr/>
                  </w:pPr>
                  <w:r>
                    <w:t xml:space="preserve">0.05 (*)</w:t>
                  </w:r>
                  <w:r/>
                </w:p>
              </w:tc>
              <w:tc>
                <w:tcPr>
                  <w:tcBorders/>
                  <w:tcW w:w="0" w:type="auto"/>
                  <w:textDirection w:val="lrTb"/>
                  <w:noWrap w:val="false"/>
                </w:tcPr>
                <w:p>
                  <w:pPr>
                    <w:pStyle w:val="806"/>
                    <w:pBdr/>
                    <w:spacing/>
                    <w:ind/>
                    <w:jc w:val="center"/>
                    <w:rPr/>
                  </w:pPr>
                  <w:r>
                    <w:t xml:space="preserve">0.36 (*)</w:t>
                  </w:r>
                  <w:r/>
                </w:p>
              </w:tc>
              <w:tc>
                <w:tcPr>
                  <w:tcBorders/>
                  <w:tcW w:w="0" w:type="auto"/>
                  <w:textDirection w:val="lrTb"/>
                  <w:noWrap w:val="false"/>
                </w:tcPr>
                <w:p>
                  <w:pPr>
                    <w:pStyle w:val="806"/>
                    <w:pBdr/>
                    <w:spacing/>
                    <w:ind/>
                    <w:jc w:val="center"/>
                    <w:rPr/>
                  </w:pPr>
                  <w:r>
                    <w:t xml:space="preserve">0.13 (ns)</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0.37</w:t>
                  </w:r>
                  <w:r/>
                </w:p>
              </w:tc>
              <w:tc>
                <w:tcPr>
                  <w:tcBorders/>
                  <w:tcW w:w="0" w:type="auto"/>
                  <w:textDirection w:val="lrTb"/>
                  <w:noWrap w:val="false"/>
                </w:tcPr>
                <w:p>
                  <w:pPr>
                    <w:pStyle w:val="806"/>
                    <w:pBdr/>
                    <w:spacing/>
                    <w:ind/>
                    <w:jc w:val="center"/>
                    <w:rPr/>
                  </w:pPr>
                  <w:r>
                    <w:t xml:space="preserve">-2.0</w:t>
                  </w:r>
                  <w:r/>
                </w:p>
              </w:tc>
            </w:tr>
            <w:tr>
              <w:trPr>
                <w:trHeight w:val="255"/>
              </w:trPr>
              <w:tc>
                <w:tcPr>
                  <w:tcBorders/>
                  <w:tcW w:w="0" w:type="auto"/>
                  <w:textDirection w:val="lrTb"/>
                  <w:noWrap w:val="false"/>
                </w:tcPr>
                <w:p>
                  <w:pPr>
                    <w:pStyle w:val="806"/>
                    <w:pBdr/>
                    <w:spacing/>
                    <w:ind/>
                    <w:jc w:val="center"/>
                    <w:rPr/>
                  </w:pPr>
                  <w:r>
                    <w:t xml:space="preserve">M40</w:t>
                  </w:r>
                  <w:r/>
                </w:p>
              </w:tc>
              <w:tc>
                <w:tcPr>
                  <w:tcBorders/>
                  <w:tcW w:w="0" w:type="auto"/>
                  <w:textDirection w:val="lrTb"/>
                  <w:noWrap w:val="false"/>
                </w:tcPr>
                <w:p>
                  <w:pPr>
                    <w:pStyle w:val="806"/>
                    <w:pBdr/>
                    <w:spacing/>
                    <w:ind/>
                    <w:jc w:val="center"/>
                    <w:rPr/>
                  </w:pPr>
                  <w:r>
                    <w:t xml:space="preserve">0.07 (ns)</w:t>
                  </w:r>
                  <w:r/>
                </w:p>
              </w:tc>
              <w:tc>
                <w:tcPr>
                  <w:tcBorders/>
                  <w:tcW w:w="0" w:type="auto"/>
                  <w:textDirection w:val="lrTb"/>
                  <w:noWrap w:val="false"/>
                </w:tcPr>
                <w:p>
                  <w:pPr>
                    <w:pStyle w:val="806"/>
                    <w:pBdr/>
                    <w:spacing/>
                    <w:ind/>
                    <w:jc w:val="center"/>
                    <w:rPr/>
                  </w:pPr>
                  <w:r>
                    <w:t xml:space="preserve">0.01 (*)</w:t>
                  </w:r>
                  <w:r/>
                </w:p>
              </w:tc>
              <w:tc>
                <w:tcPr>
                  <w:tcBorders/>
                  <w:tcW w:w="0" w:type="auto"/>
                  <w:textDirection w:val="lrTb"/>
                  <w:noWrap w:val="false"/>
                </w:tcPr>
                <w:p>
                  <w:pPr>
                    <w:pStyle w:val="806"/>
                    <w:pBdr/>
                    <w:spacing/>
                    <w:ind/>
                    <w:jc w:val="center"/>
                    <w:rPr/>
                  </w:pPr>
                  <w:r>
                    <w:t xml:space="preserve">0.06 (*)</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0.01 (ns)</w:t>
                  </w:r>
                  <w:r/>
                </w:p>
              </w:tc>
              <w:tc>
                <w:tcPr>
                  <w:tcBorders/>
                  <w:tcW w:w="0" w:type="auto"/>
                  <w:textDirection w:val="lrTb"/>
                  <w:noWrap w:val="false"/>
                </w:tcPr>
                <w:p>
                  <w:pPr>
                    <w:pStyle w:val="806"/>
                    <w:pBdr/>
                    <w:spacing/>
                    <w:ind/>
                    <w:jc w:val="center"/>
                    <w:rPr/>
                  </w:pPr>
                  <w:r>
                    <w:t xml:space="preserve">0.11</w:t>
                  </w:r>
                  <w:r/>
                </w:p>
              </w:tc>
              <w:tc>
                <w:tcPr>
                  <w:tcBorders/>
                  <w:tcW w:w="0" w:type="auto"/>
                  <w:textDirection w:val="lrTb"/>
                  <w:noWrap w:val="false"/>
                </w:tcPr>
                <w:p>
                  <w:pPr>
                    <w:pStyle w:val="806"/>
                    <w:pBdr/>
                    <w:spacing/>
                    <w:ind/>
                    <w:jc w:val="center"/>
                    <w:rPr/>
                  </w:pPr>
                  <w:r>
                    <w:t xml:space="preserve">2.4</w:t>
                  </w:r>
                  <w:r/>
                </w:p>
              </w:tc>
            </w:tr>
            <w:tr>
              <w:trPr>
                <w:trHeight w:val="255"/>
              </w:trPr>
              <w:tc>
                <w:tcPr>
                  <w:tcBorders/>
                  <w:tcW w:w="0" w:type="auto"/>
                  <w:textDirection w:val="lrTb"/>
                  <w:noWrap w:val="false"/>
                </w:tcPr>
                <w:p>
                  <w:pPr>
                    <w:pStyle w:val="806"/>
                    <w:pBdr/>
                    <w:spacing/>
                    <w:ind/>
                    <w:jc w:val="center"/>
                    <w:rPr/>
                  </w:pPr>
                  <w:r>
                    <w:t xml:space="preserve">M63</w:t>
                  </w:r>
                  <w:r/>
                </w:p>
              </w:tc>
              <w:tc>
                <w:tcPr>
                  <w:tcBorders/>
                  <w:tcW w:w="0" w:type="auto"/>
                  <w:textDirection w:val="lrTb"/>
                  <w:noWrap w:val="false"/>
                </w:tcPr>
                <w:p>
                  <w:pPr>
                    <w:pStyle w:val="806"/>
                    <w:pBdr/>
                    <w:spacing/>
                    <w:ind/>
                    <w:jc w:val="center"/>
                    <w:rPr/>
                  </w:pPr>
                  <w:r>
                    <w:t xml:space="preserve">0.22 (*)</w:t>
                  </w:r>
                  <w:r/>
                </w:p>
              </w:tc>
              <w:tc>
                <w:tcPr>
                  <w:tcBorders/>
                  <w:tcW w:w="0" w:type="auto"/>
                  <w:textDirection w:val="lrTb"/>
                  <w:noWrap w:val="false"/>
                </w:tcPr>
                <w:p>
                  <w:pPr>
                    <w:pStyle w:val="806"/>
                    <w:pBdr/>
                    <w:spacing/>
                    <w:ind/>
                    <w:jc w:val="center"/>
                    <w:rPr/>
                  </w:pPr>
                  <w:r>
                    <w:t xml:space="preserve">0.00 (ns)</w:t>
                  </w:r>
                  <w:r/>
                </w:p>
              </w:tc>
              <w:tc>
                <w:tcPr>
                  <w:tcBorders/>
                  <w:tcW w:w="0" w:type="auto"/>
                  <w:textDirection w:val="lrTb"/>
                  <w:noWrap w:val="false"/>
                </w:tcPr>
                <w:p>
                  <w:pPr>
                    <w:pStyle w:val="806"/>
                    <w:pBdr/>
                    <w:spacing/>
                    <w:ind/>
                    <w:jc w:val="center"/>
                    <w:rPr/>
                  </w:pPr>
                  <w:r>
                    <w:t xml:space="preserve">-0.01 (ns)</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0.07 (ns)</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w:t>
                  </w:r>
                  <w:r/>
                </w:p>
              </w:tc>
              <w:tc>
                <w:tcPr>
                  <w:tcBorders/>
                  <w:tcW w:w="0" w:type="auto"/>
                  <w:textDirection w:val="lrTb"/>
                  <w:noWrap w:val="false"/>
                </w:tcPr>
                <w:p>
                  <w:pPr>
                    <w:pStyle w:val="806"/>
                    <w:pBdr/>
                    <w:spacing/>
                    <w:ind/>
                    <w:jc w:val="center"/>
                    <w:rPr/>
                  </w:pPr>
                  <w:r>
                    <w:t xml:space="preserve">-0.02</w:t>
                  </w:r>
                  <w:r/>
                </w:p>
              </w:tc>
              <w:tc>
                <w:tcPr>
                  <w:tcBorders/>
                  <w:tcW w:w="0" w:type="auto"/>
                  <w:textDirection w:val="lrTb"/>
                  <w:noWrap w:val="false"/>
                </w:tcPr>
                <w:p>
                  <w:pPr>
                    <w:pStyle w:val="806"/>
                    <w:pBdr/>
                    <w:spacing/>
                    <w:ind/>
                    <w:jc w:val="center"/>
                    <w:rPr/>
                  </w:pPr>
                  <w:r>
                    <w:t xml:space="preserve">39.8</w:t>
                  </w:r>
                  <w:bookmarkEnd w:id="51"/>
                  <w:r/>
                </w:p>
              </w:tc>
            </w:tr>
          </w:tbl>
          <w:p>
            <w:pPr>
              <w:pBdr/>
              <w:spacing/>
              <w:ind/>
              <w:rPr/>
            </w:pPr>
            <w:r/>
            <w:r/>
          </w:p>
        </w:tc>
      </w:tr>
    </w:tbl>
    <w:p>
      <w:pPr>
        <w:pStyle w:val="783"/>
        <w:pBdr/>
        <w:spacing/>
        <w:ind/>
        <w:rPr/>
      </w:pPr>
      <w:r>
        <w:t xml:space="preserve"> </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Style w:val="806"/>
              <w:pBdr/>
              <w:spacing/>
              <w:ind/>
              <w:jc w:val="center"/>
              <w:rPr/>
            </w:pPr>
            <w:r/>
            <w:bookmarkStart w:id="55" w:name="fig-q-unld-all-bins"/>
            <w:r>
              <mc:AlternateContent>
                <mc:Choice Requires="wpg">
                  <w:drawing>
                    <wp:inline xmlns:wp="http://schemas.openxmlformats.org/drawingml/2006/wordprocessingDrawing" distT="0" distB="0" distL="0" distR="0">
                      <wp:extent cx="5504749" cy="4587290"/>
                      <wp:effectExtent l="0" t="0" r="0" b="0"/>
                      <wp:docPr id="4"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figs/results/explore/scl_q_unld_vs_bins.png"/>
                              <pic:cNvPicPr>
                                <a:picLocks noChangeAspect="1" noChangeArrowheads="1"/>
                              </pic:cNvPicPr>
                              <pic:nvPr/>
                            </pic:nvPicPr>
                            <pic:blipFill>
                              <a:blip r:embed="rId12"/>
                              <a:stretch/>
                            </pic:blipFill>
                            <pic:spPr bwMode="auto">
                              <a:xfrm>
                                <a:off x="0" y="0"/>
                                <a:ext cx="5504749" cy="4587290"/>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3.44pt;height:361.20pt;mso-wrap-distance-left:0.00pt;mso-wrap-distance-top:0.00pt;mso-wrap-distance-right:0.00pt;mso-wrap-distance-bottom:0.00pt;z-index:1;" stroked="f" strokeweight="0.75pt">
                      <v:imagedata r:id="rId12" o:title=""/>
                      <o:lock v:ext="edit" rotation="t"/>
                    </v:shape>
                  </w:pict>
                </mc:Fallback>
              </mc:AlternateContent>
            </w:r>
            <w:r/>
          </w:p>
          <w:p>
            <w:pPr>
              <w:pBdr/>
              <w:spacing w:before="200"/>
              <w:ind/>
              <w:jc w:val="left"/>
              <w:rPr/>
            </w:pPr>
            <w:r>
              <w:t xml:space="preserve">Figure 4: Scatter plots showing the mean unloading rate for differing bins of air temperature (°C), ice-bulb temperature depression (°C), shear stress (N m</w:t>
            </w:r>
            <w:r>
              <w:rPr>
                <w:vertAlign w:val="superscript"/>
              </w:rPr>
              <w:t xml:space="preserve">-2</w:t>
            </w:r>
            <w:r>
              <w:t xml:space="preserve">), canopy snowmelt (mm hr</w:t>
            </w:r>
            <w:r>
              <w:rPr>
                <w:vertAlign w:val="superscript"/>
              </w:rPr>
              <w:t xml:space="preserve">-1</w:t>
            </w:r>
            <w:r>
              <w:t xml:space="preserve">), canopy snow sublimation (mm hr</w:t>
            </w:r>
            <w:r>
              <w:rPr>
                <w:vertAlign w:val="superscript"/>
              </w:rPr>
              <w:t xml:space="preserve">-1</w:t>
            </w:r>
            <w:r>
              <w:t xml:space="preserve">), and wind speed (m s</w:t>
            </w:r>
            <w:r>
              <w:rPr>
                <w:vertAlign w:val="superscript"/>
              </w:rPr>
              <w:t xml:space="preserve">-1</w:t>
            </w:r>
            <w:r>
              <w:t xml:space="preserve">). Note: unloading was measured by the subcanopy lysimeters, air temperature and wind speed were measured at FT station, canopy snowmelt and sublimation were modelled in CRHM.</w:t>
            </w:r>
            <w:bookmarkEnd w:id="55"/>
            <w:r/>
          </w:p>
        </w:tc>
      </w:tr>
    </w:tbl>
    <w:p>
      <w:pPr>
        <w:pStyle w:val="709"/>
        <w:pBdr/>
        <w:spacing/>
        <w:ind/>
        <w:rPr/>
      </w:pPr>
      <w:r/>
      <w:bookmarkStart w:id="63" w:name="the-influence-of-wind-on-unloading"/>
      <w:r>
        <w:t xml:space="preserve">6.1.1 The Influence of Wind on Unloading</w:t>
      </w:r>
      <w:r/>
    </w:p>
    <w:p>
      <w:pPr>
        <w:pStyle w:val="805"/>
        <w:pBdr/>
        <w:spacing/>
        <w:ind/>
        <w:rPr/>
      </w:pPr>
      <w:r>
        <w:t xml:space="preserve">Canopy snow unloading measurements from the subcanopy lysimeters, filte</w:t>
      </w:r>
      <w:r>
        <w:t xml:space="preserve">red to include intervals without canopy snowmelt, followed a positive linear relationship with shear stress and a positive exponential relationship with wind speed (Fig. 5). Based on these observed relationships the following equations were fit and tested:</w:t>
      </w:r>
      <w:r/>
    </w:p>
    <w:p>
      <w:pPr>
        <w:pStyle w:val="783"/>
        <w:pBdr/>
        <w:spacing/>
        <w:ind/>
        <w:rPr/>
      </w:pPr>
      <w:r>
        <w:t xml:space="preserve">The wind-driven unloading rate,</w:t>
      </w:r>
      <w:r>
        <w:t xml:space="preserve"> </w:t>
      </w:r>
      <m:oMath>
        <m:sSubSup>
          <m:sSubSupPr>
            <m:alnScr m:val="off"/>
            <m:ctrlPr/>
          </m:sSubSupPr>
          <m:e>
            <m:r>
              <m:rPr/>
              <m:t>q</m:t>
            </m:r>
          </m:e>
          <m:sub>
            <m:r>
              <m:rPr/>
              <m:t>u</m:t>
            </m:r>
            <m:r>
              <m:rPr/>
              <m:t>n</m:t>
            </m:r>
            <m:r>
              <m:rPr/>
              <m:t>l</m:t>
            </m:r>
            <m:r>
              <m:rPr/>
              <m:t>d</m:t>
            </m:r>
          </m:sub>
          <m:sup>
            <m:r>
              <m:rPr/>
              <m:t>w</m:t>
            </m:r>
            <m:r>
              <m:rPr/>
              <m:t>i</m:t>
            </m:r>
            <m:r>
              <m:rPr/>
              <m:t>n</m:t>
            </m:r>
            <m:r>
              <m:rPr/>
              <m:t>d</m:t>
            </m:r>
          </m:sup>
        </m:sSubSup>
      </m:oMath>
      <w:r>
        <w:t xml:space="preserve">, was represented as a linear function of shear stress:</w:t>
      </w:r>
      <w:r/>
    </w:p>
    <w:p>
      <w:pPr>
        <w:pStyle w:val="783"/>
        <w:pBdr/>
        <w:spacing/>
        <w:ind/>
        <w:rPr/>
      </w:pPr>
      <w:r/>
      <w:bookmarkStart w:id="56" w:name="eq-q-unld-tau"/>
      <w:r/>
      <m:oMathPara>
        <m:oMathParaPr>
          <m:jc m:val="center"/>
        </m:oMathParaPr>
        <m:oMath>
          <m:sSubSup>
            <m:sSubSupPr>
              <m:alnScr m:val="off"/>
              <m:ctrlPr/>
            </m:sSubSupPr>
            <m:e>
              <m:r>
                <m:rPr/>
                <m:t>q</m:t>
              </m:r>
            </m:e>
            <m:sub>
              <m:r>
                <m:rPr/>
                <m:t>u</m:t>
              </m:r>
              <m:r>
                <m:rPr/>
                <m:t>n</m:t>
              </m:r>
              <m:r>
                <m:rPr/>
                <m:t>l</m:t>
              </m:r>
              <m:r>
                <m:rPr/>
                <m:t>d</m:t>
              </m:r>
            </m:sub>
            <m:sup>
              <m:r>
                <m:rPr/>
                <m:t>w</m:t>
              </m:r>
              <m:r>
                <m:rPr/>
                <m:t>i</m:t>
              </m:r>
              <m:r>
                <m:rPr/>
                <m:t>n</m:t>
              </m:r>
              <m:r>
                <m:rPr/>
                <m:t>d</m:t>
              </m:r>
            </m:sup>
          </m:sSubSup>
          <m:r>
            <m:rPr>
              <m:sty m:val="p"/>
            </m:rPr>
            <m:t>=</m:t>
          </m:r>
          <m:r>
            <m:rPr/>
            <m:t>L</m:t>
          </m:r>
          <m:r>
            <m:rPr>
              <m:sty m:val="p"/>
            </m:rPr>
            <m:t>⋅</m:t>
          </m:r>
          <m:sSub>
            <m:sSubPr>
              <m:ctrlPr/>
            </m:sSubPr>
            <m:e>
              <m:r>
                <m:rPr/>
                <m:t>τ</m:t>
              </m:r>
            </m:e>
            <m:sub>
              <m:r>
                <m:rPr/>
                <m:t>m</m:t>
              </m:r>
              <m:r>
                <m:rPr/>
                <m:t>i</m:t>
              </m:r>
              <m:r>
                <m:rPr/>
                <m:t>d</m:t>
              </m:r>
            </m:sub>
          </m:sSub>
          <m:r>
            <m:rPr>
              <m:sty m:val="p"/>
            </m:rPr>
            <m:t>⋅</m:t>
          </m:r>
          <m:r>
            <m:rPr/>
            <m:t>a</m:t>
          </m:r>
          <m:r>
            <m:rPr/>
            <m:t>  </m:t>
          </m:r>
          <m:d>
            <m:dPr>
              <m:begChr m:val="("/>
              <m:endChr m:val=")"/>
              <m:sepChr m:val=""/>
              <m:ctrlPr/>
            </m:dPr>
            <m:e>
              <m:r>
                <m:rPr/>
                <m:t>11</m:t>
              </m:r>
            </m:e>
          </m:d>
        </m:oMath>
      </m:oMathPara>
      <w:r/>
      <w:bookmarkEnd w:id="56"/>
      <w:r/>
      <w:r/>
    </w:p>
    <w:p>
      <w:pPr>
        <w:pStyle w:val="805"/>
        <w:pBdr/>
        <w:spacing/>
        <w:ind/>
        <w:rPr/>
      </w:pPr>
      <w:r>
        <w:t xml:space="preserve">where</w:t>
      </w:r>
      <w:r>
        <w:t xml:space="preserve"> </w:t>
      </w:r>
      <m:oMath>
        <m:sSub>
          <m:sSubPr>
            <m:ctrlPr/>
          </m:sSubPr>
          <m:e>
            <m:r>
              <m:rPr/>
              <m:t>τ</m:t>
            </m:r>
          </m:e>
          <m:sub>
            <m:r>
              <m:rPr/>
              <m:t>m</m:t>
            </m:r>
            <m:r>
              <m:rPr/>
              <m:t>i</m:t>
            </m:r>
            <m:r>
              <m:rPr/>
              <m:t>d</m:t>
            </m:r>
          </m:sub>
        </m:sSub>
      </m:oMath>
      <w:r>
        <w:t xml:space="preserve"> </w:t>
      </w:r>
      <w:r>
        <w:t xml:space="preserve">is the shear stress at mid canopy height and</w:t>
      </w:r>
      <w:r>
        <w:t xml:space="preserve"> </w:t>
      </w:r>
      <m:oMath>
        <m:r>
          <m:rPr/>
          <m:t>a</m:t>
        </m:r>
      </m:oMath>
      <w:r>
        <w:t xml:space="preserve"> </w:t>
      </w:r>
      <w:r>
        <w:t xml:space="preserve">is a fitting constant.</w:t>
      </w:r>
      <w:r/>
    </w:p>
    <w:p>
      <w:pPr>
        <w:pStyle w:val="783"/>
        <w:pBdr/>
        <w:spacing/>
        <w:ind/>
        <w:rPr/>
      </w:pPr>
      <w:r>
        <w:t xml:space="preserve">An exponential function of wind speed was defined as:</w:t>
      </w:r>
      <w:r/>
    </w:p>
    <w:p>
      <w:pPr>
        <w:pStyle w:val="783"/>
        <w:pBdr/>
        <w:spacing/>
        <w:ind/>
        <w:rPr/>
      </w:pPr>
      <w:r/>
      <w:bookmarkStart w:id="57" w:name="eq-q-unld-wind"/>
      <w:r/>
      <m:oMathPara>
        <m:oMathParaPr>
          <m:jc m:val="center"/>
        </m:oMathParaPr>
        <m:oMath>
          <m:sSubSup>
            <m:sSubSupPr>
              <m:alnScr m:val="off"/>
              <m:ctrlPr/>
            </m:sSubSupPr>
            <m:e>
              <m:r>
                <m:rPr/>
                <m:t>q</m:t>
              </m:r>
            </m:e>
            <m:sub>
              <m:r>
                <m:rPr/>
                <m:t>u</m:t>
              </m:r>
              <m:r>
                <m:rPr/>
                <m:t>n</m:t>
              </m:r>
              <m:r>
                <m:rPr/>
                <m:t>l</m:t>
              </m:r>
              <m:r>
                <m:rPr/>
                <m:t>d</m:t>
              </m:r>
            </m:sub>
            <m:sup>
              <m:r>
                <m:rPr/>
                <m:t>w</m:t>
              </m:r>
              <m:r>
                <m:rPr/>
                <m:t>i</m:t>
              </m:r>
              <m:r>
                <m:rPr/>
                <m:t>n</m:t>
              </m:r>
              <m:r>
                <m:rPr/>
                <m:t>d</m:t>
              </m:r>
            </m:sup>
          </m:sSubSup>
          <m:r>
            <m:rPr>
              <m:sty m:val="p"/>
            </m:rPr>
            <m:t>=</m:t>
          </m:r>
          <m:r>
            <m:rPr/>
            <m:t>L</m:t>
          </m:r>
          <m:r>
            <m:rPr>
              <m:sty m:val="p"/>
            </m:rPr>
            <m:t>⋅</m:t>
          </m:r>
          <m:sSub>
            <m:sSubPr>
              <m:ctrlPr/>
            </m:sSubPr>
            <m:e>
              <m:r>
                <m:rPr/>
                <m:t>u</m:t>
              </m:r>
            </m:e>
            <m:sub>
              <m:r>
                <m:rPr/>
                <m:t>m</m:t>
              </m:r>
              <m:r>
                <m:rPr/>
                <m:t>i</m:t>
              </m:r>
              <m:r>
                <m:rPr/>
                <m:t>d</m:t>
              </m:r>
            </m:sub>
          </m:sSub>
          <m:r>
            <m:rPr>
              <m:sty m:val="p"/>
            </m:rPr>
            <m:t>⋅</m:t>
          </m:r>
          <m:r>
            <m:rPr/>
            <m:t>a</m:t>
          </m:r>
          <m:r>
            <m:rPr>
              <m:sty m:val="p"/>
            </m:rPr>
            <m:t>⋅</m:t>
          </m:r>
          <m:sSup>
            <m:sSupPr>
              <m:ctrlPr/>
            </m:sSupPr>
            <m:e>
              <m:r>
                <m:rPr/>
                <m:t>e</m:t>
              </m:r>
            </m:e>
            <m:sup>
              <m:r>
                <m:rPr/>
                <m:t>b</m:t>
              </m:r>
              <m:r>
                <m:rPr>
                  <m:sty m:val="p"/>
                </m:rPr>
                <m:t>⋅</m:t>
              </m:r>
              <m:sSub>
                <m:sSubPr>
                  <m:ctrlPr/>
                </m:sSubPr>
                <m:e>
                  <m:r>
                    <m:rPr/>
                    <m:t>u</m:t>
                  </m:r>
                </m:e>
                <m:sub>
                  <m:r>
                    <m:rPr/>
                    <m:t>m</m:t>
                  </m:r>
                  <m:r>
                    <m:rPr/>
                    <m:t>i</m:t>
                  </m:r>
                  <m:r>
                    <m:rPr/>
                    <m:t>d</m:t>
                  </m:r>
                </m:sub>
              </m:sSub>
            </m:sup>
          </m:sSup>
          <m:r>
            <m:rPr/>
            <m:t>  </m:t>
          </m:r>
          <m:d>
            <m:dPr>
              <m:begChr m:val="("/>
              <m:endChr m:val=")"/>
              <m:sepChr m:val=""/>
              <m:ctrlPr/>
            </m:dPr>
            <m:e>
              <m:r>
                <m:rPr/>
                <m:t>12</m:t>
              </m:r>
            </m:e>
          </m:d>
        </m:oMath>
      </m:oMathPara>
      <w:r/>
      <w:bookmarkEnd w:id="57"/>
      <w:r/>
      <w:r/>
    </w:p>
    <w:p>
      <w:pPr>
        <w:pStyle w:val="805"/>
        <w:pBdr/>
        <w:spacing/>
        <w:ind/>
        <w:rPr/>
      </w:pPr>
      <w:r>
        <w:t xml:space="preserve">where</w:t>
      </w:r>
      <w:r>
        <w:t xml:space="preserve"> </w:t>
      </w:r>
      <m:oMath>
        <m:sSub>
          <m:sSubPr>
            <m:ctrlPr/>
          </m:sSubPr>
          <m:e>
            <m:r>
              <m:rPr/>
              <m:t>u</m:t>
            </m:r>
          </m:e>
          <m:sub>
            <m:r>
              <m:rPr/>
              <m:t>m</m:t>
            </m:r>
            <m:r>
              <m:rPr/>
              <m:t>i</m:t>
            </m:r>
            <m:r>
              <m:rPr/>
              <m:t>d</m:t>
            </m:r>
          </m:sub>
        </m:sSub>
      </m:oMath>
      <w:r>
        <w:t xml:space="preserve"> </w:t>
      </w:r>
      <w:r>
        <w:t xml:space="preserve">is the wind speed at mid canopy height, and</w:t>
      </w:r>
      <w:r>
        <w:t xml:space="preserve"> </w:t>
      </w:r>
      <m:oMath>
        <m:r>
          <m:rPr/>
          <m:t>a</m:t>
        </m:r>
      </m:oMath>
      <w:r>
        <w:t xml:space="preserve"> </w:t>
      </w:r>
      <w:r>
        <w:t xml:space="preserve">and</w:t>
      </w:r>
      <w:r>
        <w:t xml:space="preserve"> </w:t>
      </w:r>
      <m:oMath>
        <m:r>
          <m:rPr/>
          <m:t>b</m:t>
        </m:r>
      </m:oMath>
      <w:r>
        <w:t xml:space="preserve"> </w:t>
      </w:r>
      <w:r>
        <w:t xml:space="preserve">are fitting constants.</w:t>
      </w:r>
      <w:r/>
    </w:p>
    <w:p>
      <w:pPr>
        <w:pStyle w:val="783"/>
        <w:pBdr/>
        <w:spacing/>
        <w:ind/>
        <w:rPr/>
      </w:pPr>
      <w:r>
        <w:t xml:space="preserve">The shear stress relationship (Equation 11) accounted for slightly more variability in unloading (</w:t>
      </w:r>
      <w:r>
        <w:rPr>
          <w:i/>
          <w:iCs/>
        </w:rPr>
        <w:t xml:space="preserve">p</w:t>
      </w:r>
      <w:r>
        <w:t xml:space="preserve"> </w:t>
      </w:r>
      <w:r>
        <w:t xml:space="preserve">&lt; 0.05,</w:t>
      </w:r>
      <w:r>
        <w:t xml:space="preserve"> </w:t>
      </w:r>
      <w:r>
        <w:rPr>
          <w:i/>
          <w:iCs/>
        </w:rPr>
        <w:t xml:space="preserve">R</w:t>
      </w:r>
      <w:r>
        <w:rPr>
          <w:i/>
          <w:iCs/>
          <w:vertAlign w:val="superscript"/>
        </w:rPr>
        <w:t xml:space="preserve">2</w:t>
      </w:r>
      <w:r>
        <w:t xml:space="preserve"> </w:t>
      </w:r>
      <w:r>
        <w:t xml:space="preserve">= 0.61) compared to wind speed (</w:t>
      </w:r>
      <w:r>
        <w:rPr>
          <w:i/>
          <w:iCs/>
        </w:rPr>
        <w:t xml:space="preserve">p</w:t>
      </w:r>
      <w:r>
        <w:t xml:space="preserve"> </w:t>
      </w:r>
      <w:r>
        <w:t xml:space="preserve">&lt; 0.05,</w:t>
      </w:r>
      <w:r>
        <w:t xml:space="preserve"> </w:t>
      </w:r>
      <w:r>
        <w:rPr>
          <w:i/>
          <w:iCs/>
        </w:rPr>
        <w:t xml:space="preserve">R</w:t>
      </w:r>
      <w:r>
        <w:rPr>
          <w:i/>
          <w:iCs/>
          <w:vertAlign w:val="superscript"/>
        </w:rPr>
        <w:t xml:space="preserve">2</w:t>
      </w:r>
      <w:r>
        <w:t xml:space="preserve"> </w:t>
      </w:r>
      <w:r>
        <w:t xml:space="preserve">= 0.54) (Table 2). The mean bias of the shear stress model of 0.037 mm hr</w:t>
      </w:r>
      <w:r>
        <w:rPr>
          <w:vertAlign w:val="superscript"/>
        </w:rPr>
        <w:t xml:space="preserve">-1</w:t>
      </w:r>
      <w:r>
        <w:t xml:space="preserve"> </w:t>
      </w:r>
      <w:r>
        <w:t xml:space="preserve">is also lower compared to the wind speed model of 0.048 mm hr</w:t>
      </w:r>
      <w:r>
        <w:rPr>
          <w:vertAlign w:val="superscript"/>
        </w:rPr>
        <w:t xml:space="preserve">-1</w:t>
      </w:r>
      <w:r>
        <w:t xml:space="preserve">, additional model error statistics and fitting coefficients are provided in Table 2. Both models exhibited considerable scatter across the different bins, with notable un</w:t>
      </w:r>
      <w:r>
        <w:t xml:space="preserve">certainty within each bin resulting from instrument error and other processes than wind contributing to unloading (Fig. 5). The wind-induced unloading rate was observed to be higher for bins with higher canopy snow load across nearly all bins (Fig. 5). The</w:t>
      </w:r>
      <w:r>
        <w:t xml:space="preserve"> </w:t>
      </w:r>
      <w:r>
        <w:rPr>
          <w:i/>
          <w:iCs/>
        </w:rPr>
        <w:t xml:space="preserve">R</w:t>
      </w:r>
      <w:r>
        <w:rPr>
          <w:i/>
          <w:iCs/>
          <w:vertAlign w:val="superscript"/>
        </w:rPr>
        <w:t xml:space="preserve">2</w:t>
      </w:r>
      <w:r>
        <w:t xml:space="preserve"> </w:t>
      </w:r>
      <w:r>
        <w:t xml:space="preserve">of both the shear stress and wind speed relationships is much higher than the amount of variance explained by wind speed when including intervals with melting snow (Table 1). The higher</w:t>
      </w:r>
      <w:r>
        <w:t xml:space="preserve"> </w:t>
      </w:r>
      <w:r>
        <w:rPr>
          <w:i/>
          <w:iCs/>
        </w:rPr>
        <w:t xml:space="preserve">R</w:t>
      </w:r>
      <w:r>
        <w:rPr>
          <w:i/>
          <w:iCs/>
          <w:vertAlign w:val="superscript"/>
        </w:rPr>
        <w:t xml:space="preserve">2</w:t>
      </w:r>
      <w:r>
        <w:t xml:space="preserve"> </w:t>
      </w:r>
      <w:r>
        <w:t xml:space="preserve">of the shear stress model compared to wind speed, coupled with the better physical representation of kinetic energy, provided the reasoning for selecting shear stress as the independent variable to predict wind-induced unloading in the model evaluation.</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Style w:val="806"/>
              <w:pBdr/>
              <w:spacing/>
              <w:ind/>
              <w:jc w:val="center"/>
              <w:rPr/>
            </w:pPr>
            <w:r/>
            <w:bookmarkStart w:id="61" w:name="fig-q-unld-wind"/>
            <w:r>
              <mc:AlternateContent>
                <mc:Choice Requires="wpg">
                  <w:drawing>
                    <wp:inline xmlns:wp="http://schemas.openxmlformats.org/drawingml/2006/wordprocessingDrawing" distT="0" distB="0" distL="0" distR="0">
                      <wp:extent cx="6362700" cy="2726871"/>
                      <wp:effectExtent l="0" t="0" r="0" b="0"/>
                      <wp:docPr id="5"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figs/results/modelled_tau_wind_unloading_w_obs.png"/>
                              <pic:cNvPicPr>
                                <a:picLocks noChangeAspect="1" noChangeArrowheads="1"/>
                              </pic:cNvPicPr>
                              <pic:nvPr/>
                            </pic:nvPicPr>
                            <pic:blipFill>
                              <a:blip r:embed="rId13"/>
                              <a:stretch/>
                            </pic:blipFill>
                            <pic:spPr bwMode="auto">
                              <a:xfrm>
                                <a:off x="0" y="0"/>
                                <a:ext cx="6362700" cy="2726871"/>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01.00pt;height:214.71pt;mso-wrap-distance-left:0.00pt;mso-wrap-distance-top:0.00pt;mso-wrap-distance-right:0.00pt;mso-wrap-distance-bottom:0.00pt;z-index:1;" stroked="f" strokeweight="0.75pt">
                      <v:imagedata r:id="rId13" o:title=""/>
                      <o:lock v:ext="edit" rotation="t"/>
                    </v:shape>
                  </w:pict>
                </mc:Fallback>
              </mc:AlternateContent>
            </w:r>
            <w:r/>
          </w:p>
          <w:p>
            <w:pPr>
              <w:pBdr/>
              <w:spacing w:before="200"/>
              <w:ind/>
              <w:jc w:val="left"/>
              <w:rPr/>
            </w:pPr>
            <w:r>
              <w:t xml:space="preserve">Figure 5: Canopy snow unloading rate measured by the subcanopy lysimeters versus shear stress (left) and wind speed (rig</w:t>
            </w:r>
            <w:r>
              <w:t xml:space="preserve">ht) during periods without canopy snowmelt. The dots represent mean unloading rates within bins of shear stress and wind speed; error bars indicate +/- 1 standard deviation. The fitted lines show predictions from Equation 11 (left) and Equation 12 (right).</w:t>
            </w:r>
            <w:bookmarkEnd w:id="61"/>
            <w:r/>
          </w:p>
        </w:tc>
      </w:tr>
    </w:tbl>
    <w:p>
      <w:pPr>
        <w:pStyle w:val="783"/>
        <w:pBdr/>
        <w:spacing/>
        <w:ind/>
        <w:rPr/>
      </w:pPr>
      <w:r>
        <w:t xml:space="preserve"> </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Bdr/>
              <w:spacing w:before="200"/>
              <w:ind/>
              <w:jc w:val="left"/>
              <w:rPr/>
            </w:pPr>
            <w:r/>
            <w:bookmarkStart w:id="62" w:name="tbl-q-unld-wind"/>
            <w:r>
              <w:t xml:space="preserve">Table 2: Summary of the performance and regression coefficients for the relationship between canopy snow unloading with wind speed (Equation 11) and shear stress (Equation 12), as shown in Fig. 5. Coefficients are developed for hourly unloading.</w:t>
            </w:r>
            <w:r/>
          </w:p>
          <w:tbl>
            <w:tblPr>
              <w:tblW w:w="0" w:type="auto"/>
              <w:tblBorders/>
              <w:tblLook w:val="0020" w:firstRow="1" w:lastRow="0" w:firstColumn="0" w:lastColumn="0" w:noHBand="0" w:noVBand="0"/>
            </w:tblPr>
            <w:tblGrid>
              <w:gridCol w:w="2640"/>
              <w:gridCol w:w="2640"/>
              <w:gridCol w:w="2640"/>
            </w:tblGrid>
            <w:tr>
              <w:trPr>
                <w:tblHeader/>
              </w:trPr>
              <w:tc>
                <w:tcPr>
                  <w:tcBorders/>
                  <w:textDirection w:val="lrTb"/>
                  <w:noWrap w:val="false"/>
                </w:tcPr>
                <w:p>
                  <w:pPr>
                    <w:pStyle w:val="806"/>
                    <w:pBdr/>
                    <w:spacing/>
                    <w:ind/>
                    <w:jc w:val="center"/>
                    <w:rPr/>
                  </w:pPr>
                  <w:r>
                    <w:t xml:space="preserve">Metric</w:t>
                  </w:r>
                  <w:r/>
                </w:p>
              </w:tc>
              <w:tc>
                <w:tcPr>
                  <w:tcBorders/>
                  <w:textDirection w:val="lrTb"/>
                  <w:noWrap w:val="false"/>
                </w:tcPr>
                <w:p>
                  <w:pPr>
                    <w:pStyle w:val="806"/>
                    <w:pBdr/>
                    <w:spacing/>
                    <w:ind/>
                    <w:jc w:val="center"/>
                    <w:rPr/>
                  </w:pPr>
                  <w:r>
                    <w:t xml:space="preserve">Wind</w:t>
                  </w:r>
                  <w:r/>
                </w:p>
              </w:tc>
              <w:tc>
                <w:tcPr>
                  <w:tcBorders/>
                  <w:textDirection w:val="lrTb"/>
                  <w:noWrap w:val="false"/>
                </w:tcPr>
                <w:p>
                  <w:pPr>
                    <w:pStyle w:val="806"/>
                    <w:pBdr/>
                    <w:spacing/>
                    <w:ind/>
                    <w:jc w:val="center"/>
                    <w:rPr/>
                  </w:pPr>
                  <w:r>
                    <w:t xml:space="preserve">Shear Stress</w:t>
                  </w:r>
                  <w:r/>
                </w:p>
              </w:tc>
            </w:tr>
            <w:tr>
              <w:trPr/>
              <w:tc>
                <w:tcPr>
                  <w:tcBorders/>
                  <w:textDirection w:val="lrTb"/>
                  <w:noWrap w:val="false"/>
                </w:tcPr>
                <w:p>
                  <w:pPr>
                    <w:pStyle w:val="806"/>
                    <w:pBdr/>
                    <w:spacing/>
                    <w:ind/>
                    <w:jc w:val="center"/>
                    <w:rPr/>
                  </w:pPr>
                  <w:r>
                    <w:t xml:space="preserve">Mean Bias (mm/hr)</w:t>
                  </w:r>
                  <w:r/>
                </w:p>
              </w:tc>
              <w:tc>
                <w:tcPr>
                  <w:tcBorders/>
                  <w:textDirection w:val="lrTb"/>
                  <w:noWrap w:val="false"/>
                </w:tcPr>
                <w:p>
                  <w:pPr>
                    <w:pStyle w:val="806"/>
                    <w:pBdr/>
                    <w:spacing/>
                    <w:ind/>
                    <w:jc w:val="center"/>
                    <w:rPr/>
                  </w:pPr>
                  <w:r>
                    <w:t xml:space="preserve">0.048</w:t>
                  </w:r>
                  <w:r/>
                </w:p>
              </w:tc>
              <w:tc>
                <w:tcPr>
                  <w:tcBorders/>
                  <w:textDirection w:val="lrTb"/>
                  <w:noWrap w:val="false"/>
                </w:tcPr>
                <w:p>
                  <w:pPr>
                    <w:pStyle w:val="806"/>
                    <w:pBdr/>
                    <w:spacing/>
                    <w:ind/>
                    <w:jc w:val="center"/>
                    <w:rPr/>
                  </w:pPr>
                  <w:r>
                    <w:t xml:space="preserve">0.037</w:t>
                  </w:r>
                  <w:r/>
                </w:p>
              </w:tc>
            </w:tr>
            <w:tr>
              <w:trPr/>
              <w:tc>
                <w:tcPr>
                  <w:tcBorders/>
                  <w:textDirection w:val="lrTb"/>
                  <w:noWrap w:val="false"/>
                </w:tcPr>
                <w:p>
                  <w:pPr>
                    <w:pStyle w:val="806"/>
                    <w:pBdr/>
                    <w:spacing/>
                    <w:ind/>
                    <w:jc w:val="center"/>
                    <w:rPr/>
                  </w:pPr>
                  <w:r>
                    <w:t xml:space="preserve">Mean Absolute Error (mm/hr)</w:t>
                  </w:r>
                  <w:r/>
                </w:p>
              </w:tc>
              <w:tc>
                <w:tcPr>
                  <w:tcBorders/>
                  <w:textDirection w:val="lrTb"/>
                  <w:noWrap w:val="false"/>
                </w:tcPr>
                <w:p>
                  <w:pPr>
                    <w:pStyle w:val="806"/>
                    <w:pBdr/>
                    <w:spacing/>
                    <w:ind/>
                    <w:jc w:val="center"/>
                    <w:rPr/>
                  </w:pPr>
                  <w:r>
                    <w:t xml:space="preserve">0.087</w:t>
                  </w:r>
                  <w:r/>
                </w:p>
              </w:tc>
              <w:tc>
                <w:tcPr>
                  <w:tcBorders/>
                  <w:textDirection w:val="lrTb"/>
                  <w:noWrap w:val="false"/>
                </w:tcPr>
                <w:p>
                  <w:pPr>
                    <w:pStyle w:val="806"/>
                    <w:pBdr/>
                    <w:spacing/>
                    <w:ind/>
                    <w:jc w:val="center"/>
                    <w:rPr/>
                  </w:pPr>
                  <w:r>
                    <w:t xml:space="preserve">0.115</w:t>
                  </w:r>
                  <w:r/>
                </w:p>
              </w:tc>
            </w:tr>
            <w:tr>
              <w:trPr/>
              <w:tc>
                <w:tcPr>
                  <w:tcBorders/>
                  <w:textDirection w:val="lrTb"/>
                  <w:noWrap w:val="false"/>
                </w:tcPr>
                <w:p>
                  <w:pPr>
                    <w:pStyle w:val="806"/>
                    <w:pBdr/>
                    <w:spacing/>
                    <w:ind/>
                    <w:jc w:val="center"/>
                    <w:rPr/>
                  </w:pPr>
                  <w:r>
                    <w:t xml:space="preserve">Root Mean Square Error (mm/hr)</w:t>
                  </w:r>
                  <w:r/>
                </w:p>
              </w:tc>
              <w:tc>
                <w:tcPr>
                  <w:tcBorders/>
                  <w:textDirection w:val="lrTb"/>
                  <w:noWrap w:val="false"/>
                </w:tcPr>
                <w:p>
                  <w:pPr>
                    <w:pStyle w:val="806"/>
                    <w:pBdr/>
                    <w:spacing/>
                    <w:ind/>
                    <w:jc w:val="center"/>
                    <w:rPr/>
                  </w:pPr>
                  <w:r>
                    <w:t xml:space="preserve">0.11</w:t>
                  </w:r>
                  <w:r/>
                </w:p>
              </w:tc>
              <w:tc>
                <w:tcPr>
                  <w:tcBorders/>
                  <w:textDirection w:val="lrTb"/>
                  <w:noWrap w:val="false"/>
                </w:tcPr>
                <w:p>
                  <w:pPr>
                    <w:pStyle w:val="806"/>
                    <w:pBdr/>
                    <w:spacing/>
                    <w:ind/>
                    <w:jc w:val="center"/>
                    <w:rPr/>
                  </w:pPr>
                  <w:r>
                    <w:t xml:space="preserve">0.15</w:t>
                  </w:r>
                  <w:r/>
                </w:p>
              </w:tc>
            </w:tr>
            <w:tr>
              <w:trPr/>
              <w:tc>
                <w:tcPr>
                  <w:tcBorders/>
                  <w:textDirection w:val="lrTb"/>
                  <w:noWrap w:val="false"/>
                </w:tcPr>
                <w:p>
                  <w:pPr>
                    <w:pStyle w:val="806"/>
                    <w:pBdr/>
                    <w:spacing/>
                    <w:ind/>
                    <w:jc w:val="center"/>
                    <w:rPr/>
                  </w:pPr>
                  <w:r>
                    <w:t xml:space="preserve">Coefficient of Determination (</w:t>
                  </w:r>
                  <m:oMath>
                    <m:sSup>
                      <m:sSupPr>
                        <m:ctrlPr/>
                      </m:sSupPr>
                      <m:e>
                        <m:r>
                          <m:rPr/>
                          <m:t>R</m:t>
                        </m:r>
                      </m:e>
                      <m:sup>
                        <m:r>
                          <m:rPr/>
                          <m:t>2</m:t>
                        </m:r>
                      </m:sup>
                    </m:sSup>
                  </m:oMath>
                  <w:r>
                    <w:t xml:space="preserve">)</w:t>
                  </w:r>
                  <w:r/>
                </w:p>
              </w:tc>
              <w:tc>
                <w:tcPr>
                  <w:tcBorders/>
                  <w:textDirection w:val="lrTb"/>
                  <w:noWrap w:val="false"/>
                </w:tcPr>
                <w:p>
                  <w:pPr>
                    <w:pStyle w:val="806"/>
                    <w:pBdr/>
                    <w:spacing/>
                    <w:ind/>
                    <w:jc w:val="center"/>
                    <w:rPr/>
                  </w:pPr>
                  <w:r>
                    <w:t xml:space="preserve">0.54</w:t>
                  </w:r>
                  <w:r/>
                </w:p>
              </w:tc>
              <w:tc>
                <w:tcPr>
                  <w:tcBorders/>
                  <w:textDirection w:val="lrTb"/>
                  <w:noWrap w:val="false"/>
                </w:tcPr>
                <w:p>
                  <w:pPr>
                    <w:pStyle w:val="806"/>
                    <w:pBdr/>
                    <w:spacing/>
                    <w:ind/>
                    <w:jc w:val="center"/>
                    <w:rPr/>
                  </w:pPr>
                  <w:r>
                    <w:t xml:space="preserve">0.61</w:t>
                  </w:r>
                  <w:r/>
                </w:p>
              </w:tc>
            </w:tr>
            <w:tr>
              <w:trPr/>
              <w:tc>
                <w:tcPr>
                  <w:tcBorders/>
                  <w:textDirection w:val="lrTb"/>
                  <w:noWrap w:val="false"/>
                </w:tcPr>
                <w:p>
                  <w:pPr>
                    <w:pStyle w:val="806"/>
                    <w:pBdr/>
                    <w:spacing/>
                    <w:ind/>
                    <w:jc w:val="center"/>
                    <w:rPr/>
                  </w:pPr>
                  <w:r>
                    <w:t xml:space="preserve">Coefficient a</w:t>
                  </w:r>
                  <w:r/>
                </w:p>
              </w:tc>
              <w:tc>
                <w:tcPr>
                  <w:tcBorders/>
                  <w:textDirection w:val="lrTb"/>
                  <w:noWrap w:val="false"/>
                </w:tcPr>
                <w:p>
                  <w:pPr>
                    <w:pStyle w:val="806"/>
                    <w:pBdr/>
                    <w:spacing/>
                    <w:ind/>
                    <w:jc w:val="center"/>
                    <w:rPr/>
                  </w:pPr>
                  <w:r>
                    <w:t xml:space="preserve">4.62e-03</w:t>
                  </w:r>
                  <w:r/>
                </w:p>
              </w:tc>
              <w:tc>
                <w:tcPr>
                  <w:tcBorders/>
                  <w:textDirection w:val="lrTb"/>
                  <w:noWrap w:val="false"/>
                </w:tcPr>
                <w:p>
                  <w:pPr>
                    <w:pStyle w:val="806"/>
                    <w:pBdr/>
                    <w:spacing/>
                    <w:ind/>
                    <w:jc w:val="center"/>
                    <w:rPr/>
                  </w:pPr>
                  <w:r>
                    <w:t xml:space="preserve">3.31e-01</w:t>
                  </w:r>
                  <w:r/>
                </w:p>
              </w:tc>
            </w:tr>
            <w:tr>
              <w:trPr/>
              <w:tc>
                <w:tcPr>
                  <w:tcBorders/>
                  <w:textDirection w:val="lrTb"/>
                  <w:noWrap w:val="false"/>
                </w:tcPr>
                <w:p>
                  <w:pPr>
                    <w:pStyle w:val="806"/>
                    <w:pBdr/>
                    <w:spacing/>
                    <w:ind/>
                    <w:jc w:val="center"/>
                    <w:rPr/>
                  </w:pPr>
                  <w:r>
                    <w:t xml:space="preserve">Significance of a</w:t>
                  </w:r>
                  <w:r/>
                </w:p>
              </w:tc>
              <w:tc>
                <w:tcPr>
                  <w:tcBorders/>
                  <w:textDirection w:val="lrTb"/>
                  <w:noWrap w:val="false"/>
                </w:tcPr>
                <w:p>
                  <w:pPr>
                    <w:pStyle w:val="806"/>
                    <w:pBdr/>
                    <w:spacing/>
                    <w:ind/>
                    <w:jc w:val="center"/>
                    <w:rPr/>
                  </w:pPr>
                  <w:r>
                    <w:t xml:space="preserve">p &lt; 0.05</w:t>
                  </w:r>
                  <w:r/>
                </w:p>
              </w:tc>
              <w:tc>
                <w:tcPr>
                  <w:tcBorders/>
                  <w:textDirection w:val="lrTb"/>
                  <w:noWrap w:val="false"/>
                </w:tcPr>
                <w:p>
                  <w:pPr>
                    <w:pStyle w:val="806"/>
                    <w:pBdr/>
                    <w:spacing/>
                    <w:ind/>
                    <w:jc w:val="center"/>
                    <w:rPr/>
                  </w:pPr>
                  <w:r>
                    <w:t xml:space="preserve">p &lt; 0.05</w:t>
                  </w:r>
                  <w:r/>
                </w:p>
              </w:tc>
            </w:tr>
            <w:tr>
              <w:trPr/>
              <w:tc>
                <w:tcPr>
                  <w:tcBorders/>
                  <w:textDirection w:val="lrTb"/>
                  <w:noWrap w:val="false"/>
                </w:tcPr>
                <w:p>
                  <w:pPr>
                    <w:pStyle w:val="806"/>
                    <w:pBdr/>
                    <w:spacing/>
                    <w:ind/>
                    <w:jc w:val="center"/>
                    <w:rPr/>
                  </w:pPr>
                  <w:r>
                    <w:t xml:space="preserve">Coefficient b</w:t>
                  </w:r>
                  <w:r/>
                </w:p>
              </w:tc>
              <w:tc>
                <w:tcPr>
                  <w:tcBorders/>
                  <w:textDirection w:val="lrTb"/>
                  <w:noWrap w:val="false"/>
                </w:tcPr>
                <w:p>
                  <w:pPr>
                    <w:pStyle w:val="806"/>
                    <w:pBdr/>
                    <w:spacing/>
                    <w:ind/>
                    <w:jc w:val="center"/>
                    <w:rPr/>
                  </w:pPr>
                  <w:r>
                    <w:t xml:space="preserve">3.93e-01</w:t>
                  </w:r>
                  <w:r/>
                </w:p>
              </w:tc>
              <w:tc>
                <w:tcPr>
                  <w:tcBorders/>
                  <w:textDirection w:val="lrTb"/>
                  <w:noWrap w:val="false"/>
                </w:tcPr>
                <w:p>
                  <w:pPr>
                    <w:pStyle w:val="806"/>
                    <w:pBdr/>
                    <w:spacing/>
                    <w:ind/>
                    <w:jc w:val="center"/>
                    <w:rPr/>
                  </w:pPr>
                  <w:r>
                    <w:t xml:space="preserve">NA</w:t>
                  </w:r>
                  <w:r/>
                </w:p>
              </w:tc>
            </w:tr>
            <w:tr>
              <w:trPr/>
              <w:tc>
                <w:tcPr>
                  <w:tcBorders/>
                  <w:textDirection w:val="lrTb"/>
                  <w:noWrap w:val="false"/>
                </w:tcPr>
                <w:p>
                  <w:pPr>
                    <w:pStyle w:val="806"/>
                    <w:pBdr/>
                    <w:spacing/>
                    <w:ind/>
                    <w:jc w:val="center"/>
                    <w:rPr/>
                  </w:pPr>
                  <w:r>
                    <w:t xml:space="preserve">Significance of b</w:t>
                  </w:r>
                  <w:r/>
                </w:p>
              </w:tc>
              <w:tc>
                <w:tcPr>
                  <w:tcBorders/>
                  <w:textDirection w:val="lrTb"/>
                  <w:noWrap w:val="false"/>
                </w:tcPr>
                <w:p>
                  <w:pPr>
                    <w:pStyle w:val="806"/>
                    <w:pBdr/>
                    <w:spacing/>
                    <w:ind/>
                    <w:jc w:val="center"/>
                    <w:rPr/>
                  </w:pPr>
                  <w:r>
                    <w:t xml:space="preserve">p &lt; 0.05</w:t>
                  </w:r>
                  <w:r/>
                </w:p>
              </w:tc>
              <w:tc>
                <w:tcPr>
                  <w:tcBorders/>
                  <w:textDirection w:val="lrTb"/>
                  <w:noWrap w:val="false"/>
                </w:tcPr>
                <w:p>
                  <w:pPr>
                    <w:pStyle w:val="806"/>
                    <w:pBdr/>
                    <w:spacing/>
                    <w:ind/>
                    <w:jc w:val="center"/>
                    <w:rPr/>
                  </w:pPr>
                  <w:r>
                    <w:t xml:space="preserve">NA</w:t>
                  </w:r>
                  <w:bookmarkEnd w:id="62"/>
                  <w:r/>
                </w:p>
              </w:tc>
            </w:tr>
          </w:tbl>
          <w:p>
            <w:pPr>
              <w:pBdr/>
              <w:spacing/>
              <w:ind/>
              <w:rPr/>
            </w:pPr>
            <w:r/>
            <w:bookmarkEnd w:id="63"/>
            <w:r/>
          </w:p>
        </w:tc>
      </w:tr>
    </w:tbl>
    <w:p>
      <w:pPr>
        <w:pStyle w:val="709"/>
        <w:pBdr/>
        <w:spacing/>
        <w:ind/>
        <w:rPr/>
      </w:pPr>
      <w:r/>
      <w:bookmarkStart w:id="74" w:name="the-influence-of-melt-on-unloading"/>
      <w:r>
        <w:t xml:space="preserve">6.1.2 The Influence of Melt on Unloading</w:t>
      </w:r>
      <w:r/>
    </w:p>
    <w:p>
      <w:pPr>
        <w:pStyle w:val="805"/>
        <w:pBdr/>
        <w:spacing/>
        <w:ind/>
        <w:rPr/>
      </w:pPr>
      <w:r>
        <w:t xml:space="preserve">The ratio of canopy snow unloading (from Equation 2) to melt (simulated in CRHM using Equation 3) was observed to increase with canopy snow load (weighed tree) for events in which wind-driven unloading and/or sublimation contributed less than</w:t>
      </w:r>
      <w:r>
        <w:t xml:space="preserve"> 5% to total ablation (Fig. 6). This ratio ranged from approximately 0–0.5 (-) for snow loads between 0 and 5 mm, and increased linearly to a maximum of 5 at a canopy snow load of 30 mm (Fig. 6). This relationship was represented by the following equation:</w:t>
      </w:r>
      <w:r/>
    </w:p>
    <w:p>
      <w:pPr>
        <w:pStyle w:val="783"/>
        <w:pBdr/>
        <w:spacing/>
        <w:ind/>
        <w:rPr/>
      </w:pPr>
      <w:r/>
      <w:bookmarkStart w:id="64" w:name="eq-q-unld-melt"/>
      <w:r/>
      <m:oMathPara>
        <m:oMathParaPr>
          <m:jc m:val="center"/>
        </m:oMathParaPr>
        <m:oMath>
          <m:sSubSup>
            <m:sSubSupPr>
              <m:alnScr m:val="off"/>
              <m:ctrlPr/>
            </m:sSubSupPr>
            <m:e>
              <m:r>
                <m:rPr/>
                <m:t>q</m:t>
              </m:r>
            </m:e>
            <m:sub>
              <m:r>
                <m:rPr/>
                <m:t>u</m:t>
              </m:r>
              <m:r>
                <m:rPr/>
                <m:t>n</m:t>
              </m:r>
              <m:r>
                <m:rPr/>
                <m:t>l</m:t>
              </m:r>
              <m:r>
                <m:rPr/>
                <m:t>d</m:t>
              </m:r>
            </m:sub>
            <m:sup>
              <m:r>
                <m:rPr/>
                <m:t>m</m:t>
              </m:r>
              <m:r>
                <m:rPr/>
                <m:t>e</m:t>
              </m:r>
              <m:r>
                <m:rPr/>
                <m:t>l</m:t>
              </m:r>
              <m:r>
                <m:rPr/>
                <m:t>t</m:t>
              </m:r>
            </m:sup>
          </m:sSubSup>
          <m:r>
            <m:rPr>
              <m:sty m:val="p"/>
            </m:rPr>
            <m:t>=</m:t>
          </m:r>
          <m:r>
            <m:rPr/>
            <m:t>R</m:t>
          </m:r>
          <m:r>
            <m:rPr>
              <m:sty m:val="p"/>
            </m:rPr>
            <m:t>⋅</m:t>
          </m:r>
          <m:sSub>
            <m:sSubPr>
              <m:ctrlPr/>
            </m:sSubPr>
            <m:e>
              <m:r>
                <m:rPr/>
                <m:t>q</m:t>
              </m:r>
            </m:e>
            <m:sub>
              <m:r>
                <m:rPr/>
                <m:t>m</m:t>
              </m:r>
              <m:r>
                <m:rPr/>
                <m:t>e</m:t>
              </m:r>
              <m:r>
                <m:rPr/>
                <m:t>l</m:t>
              </m:r>
              <m:r>
                <m:rPr/>
                <m:t>t</m:t>
              </m:r>
            </m:sub>
          </m:sSub>
          <m:d>
            <m:dPr>
              <m:begChr m:val="("/>
              <m:endChr m:val=")"/>
              <m:sepChr m:val=""/>
              <m:ctrlPr/>
            </m:dPr>
            <m:e>
              <m:r>
                <m:rPr/>
                <m:t>L</m:t>
              </m:r>
            </m:e>
          </m:d>
          <m:r>
            <m:rPr/>
            <m:t>  </m:t>
          </m:r>
          <m:d>
            <m:dPr>
              <m:begChr m:val="("/>
              <m:endChr m:val=")"/>
              <m:sepChr m:val=""/>
              <m:ctrlPr/>
            </m:dPr>
            <m:e>
              <m:r>
                <m:rPr/>
                <m:t>13</m:t>
              </m:r>
            </m:e>
          </m:d>
        </m:oMath>
      </m:oMathPara>
      <w:r/>
      <w:bookmarkEnd w:id="64"/>
      <w:r/>
      <w:r/>
    </w:p>
    <w:p>
      <w:pPr>
        <w:pStyle w:val="805"/>
        <w:pBdr/>
        <w:spacing/>
        <w:ind/>
        <w:rPr/>
      </w:pPr>
      <w:r>
        <w:t xml:space="preserve">where</w:t>
      </w:r>
      <w:r>
        <w:t xml:space="preserve"> </w:t>
      </w:r>
      <m:oMath>
        <m:r>
          <m:rPr/>
          <m:t>R</m:t>
        </m:r>
      </m:oMath>
      <w:r>
        <w:t xml:space="preserve"> </w:t>
      </w:r>
      <w:r>
        <w:t xml:space="preserve">is the ratio of unloading to canopy snowmelt and</w:t>
      </w:r>
      <w:r>
        <w:t xml:space="preserve"> </w:t>
      </w:r>
      <m:oMath>
        <m:sSub>
          <m:sSubPr>
            <m:ctrlPr/>
          </m:sSubPr>
          <m:e>
            <m:r>
              <m:rPr/>
              <m:t>q</m:t>
            </m:r>
          </m:e>
          <m:sub>
            <m:r>
              <m:rPr/>
              <m:t>m</m:t>
            </m:r>
            <m:r>
              <m:rPr/>
              <m:t>e</m:t>
            </m:r>
            <m:r>
              <m:rPr/>
              <m:t>l</m:t>
            </m:r>
            <m:r>
              <m:rPr/>
              <m:t>t</m:t>
            </m:r>
          </m:sub>
        </m:sSub>
      </m:oMath>
      <w:r>
        <w:t xml:space="preserve"> </w:t>
      </w:r>
      <w:r>
        <w:t xml:space="preserve">is the canopy snowmelt rate (mm hr</w:t>
      </w:r>
      <w:r>
        <w:rPr>
          <w:vertAlign w:val="superscript"/>
        </w:rPr>
        <w:t xml:space="preserve">-1</w:t>
      </w:r>
      <w:r>
        <w:t xml:space="preserve">). Equation 13 is similar to Equation 33 in</w:t>
      </w:r>
      <w:r>
        <w:t xml:space="preserve"> </w:t>
      </w:r>
      <w:r>
        <w:t xml:space="preserve">Andreadis et al. (2009)</w:t>
      </w:r>
      <w:r>
        <w:t xml:space="preserve">; however, instead of a constant value of 0.4 for</w:t>
      </w:r>
      <w:r>
        <w:t xml:space="preserve"> </w:t>
      </w:r>
      <m:oMath>
        <m:r>
          <m:rPr/>
          <m:t>R</m:t>
        </m:r>
      </m:oMath>
      <w:r>
        <w:t xml:space="preserve">, it was determined as:</w:t>
      </w:r>
      <w:r/>
    </w:p>
    <w:p>
      <w:pPr>
        <w:pStyle w:val="783"/>
        <w:pBdr/>
        <w:spacing/>
        <w:ind/>
        <w:rPr/>
      </w:pPr>
      <w:r/>
      <w:bookmarkStart w:id="65" w:name="eq-fm"/>
      <w:r/>
      <m:oMathPara>
        <m:oMathParaPr>
          <m:jc m:val="center"/>
        </m:oMathParaPr>
        <m:oMath>
          <m:r>
            <m:rPr/>
            <m:t>R</m:t>
          </m:r>
          <m:r>
            <m:rPr>
              <m:sty m:val="p"/>
            </m:rPr>
            <m:t>=</m:t>
          </m:r>
          <m:r>
            <m:rPr/>
            <m:t>m</m:t>
          </m:r>
          <m:r>
            <m:rPr>
              <m:sty m:val="p"/>
            </m:rPr>
            <m:t>⋅</m:t>
          </m:r>
          <m:r>
            <m:rPr/>
            <m:t>L</m:t>
          </m:r>
          <m:r>
            <m:rPr>
              <m:sty m:val="p"/>
            </m:rPr>
            <m:t>+</m:t>
          </m:r>
          <m:r>
            <m:rPr/>
            <m:t>b</m:t>
          </m:r>
          <m:r>
            <m:rPr/>
            <m:t>  </m:t>
          </m:r>
          <m:d>
            <m:dPr>
              <m:begChr m:val="("/>
              <m:endChr m:val=")"/>
              <m:sepChr m:val=""/>
              <m:ctrlPr/>
            </m:dPr>
            <m:e>
              <m:r>
                <m:rPr/>
                <m:t>14</m:t>
              </m:r>
            </m:e>
          </m:d>
        </m:oMath>
      </m:oMathPara>
      <w:r/>
      <w:bookmarkEnd w:id="65"/>
      <w:r/>
      <w:r/>
    </w:p>
    <w:p>
      <w:pPr>
        <w:pStyle w:val="805"/>
        <w:pBdr/>
        <w:spacing/>
        <w:ind/>
        <w:rPr/>
      </w:pPr>
      <w:r>
        <w:t xml:space="preserve">where</w:t>
      </w:r>
      <w:r>
        <w:t xml:space="preserve"> </w:t>
      </w:r>
      <m:oMath>
        <m:r>
          <m:rPr/>
          <m:t>m</m:t>
        </m:r>
      </m:oMath>
      <w:r>
        <w:t xml:space="preserve"> </w:t>
      </w:r>
      <w:r>
        <w:t xml:space="preserve">and</w:t>
      </w:r>
      <w:r>
        <w:t xml:space="preserve"> </w:t>
      </w:r>
      <m:oMath>
        <m:r>
          <m:rPr/>
          <m:t>b</m:t>
        </m:r>
      </m:oMath>
      <w:r>
        <w:t xml:space="preserve"> </w:t>
      </w:r>
      <w:r>
        <w:t xml:space="preserve">were determined as 0.16 and -0.5, respectively, using an ordinary least squares regression.</w:t>
      </w:r>
      <w:r/>
    </w:p>
    <w:p>
      <w:pPr>
        <w:pStyle w:val="783"/>
        <w:pBdr/>
        <w:spacing/>
        <w:ind/>
        <w:rPr/>
      </w:pPr>
      <w:r>
        <w:t xml:space="preserve">Equation 13 resulted in a statistically significant relationship (</w:t>
      </w:r>
      <w:r>
        <w:rPr>
          <w:i/>
          <w:iCs/>
        </w:rPr>
        <w:t xml:space="preserve">p</w:t>
      </w:r>
      <w:r>
        <w:t xml:space="preserve"> </w:t>
      </w:r>
      <w:r>
        <w:t xml:space="preserve">&lt; 0.05,</w:t>
      </w:r>
      <w:r>
        <w:t xml:space="preserve"> </w:t>
      </w:r>
      <w:r>
        <w:rPr>
          <w:i/>
          <w:iCs/>
        </w:rPr>
        <w:t xml:space="preserve">R</w:t>
      </w:r>
      <w:r>
        <w:rPr>
          <w:i/>
          <w:iCs/>
          <w:vertAlign w:val="superscript"/>
        </w:rPr>
        <w:t xml:space="preserve">2</w:t>
      </w:r>
      <w:r>
        <w:t xml:space="preserve"> </w:t>
      </w:r>
      <w:r>
        <w:t xml:space="preserve">= 0.73) based on ordinary least squares line</w:t>
      </w:r>
      <w:r>
        <w:t xml:space="preserve">ar regression (Fig. 6). Additional observations of canopy snowmelt from the tipping buckets were also used to estimate the canopy snow unloading-to-melt ratio (Fig. 6); however, the number of usable observations was limited due to freeze-thaw events that a</w:t>
      </w:r>
      <w:r>
        <w:t xml:space="preserve">ffected the instrument functionality. However, the sparse measurements are still useful in providing some indication of the validity of the CRHM canopy snowmelt/drip routine (Fig. 7). The CRHM estimated cumulative drip is higher than the tipping buckets fo</w:t>
      </w:r>
      <w:r>
        <w:t xml:space="preserve">r two out of the three melt events. A difference in the timing and magnitude of the observed and simulated values were expected due to both instrument uncertainties in the tipping buckets (freezing/thawing) and in the canopy snow energy balance simulation.</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Style w:val="806"/>
              <w:pBdr/>
              <w:spacing/>
              <w:ind/>
              <w:jc w:val="center"/>
              <w:rPr/>
            </w:pPr>
            <w:r/>
            <w:bookmarkStart w:id="69" w:name="fig-unld-melt-ratio"/>
            <w:r>
              <mc:AlternateContent>
                <mc:Choice Requires="wpg">
                  <w:drawing>
                    <wp:inline xmlns:wp="http://schemas.openxmlformats.org/drawingml/2006/wordprocessingDrawing" distT="0" distB="0" distL="0" distR="0">
                      <wp:extent cx="4587290" cy="3669832"/>
                      <wp:effectExtent l="0" t="0" r="0" b="0"/>
                      <wp:docPr id="6"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figs/results/modelled_melt_unloading_ratio_vs_snow_load_bin.png"/>
                              <pic:cNvPicPr>
                                <a:picLocks noChangeAspect="1" noChangeArrowheads="1"/>
                              </pic:cNvPicPr>
                              <pic:nvPr/>
                            </pic:nvPicPr>
                            <pic:blipFill>
                              <a:blip r:embed="rId14"/>
                              <a:stretch/>
                            </pic:blipFill>
                            <pic:spPr bwMode="auto">
                              <a:xfrm>
                                <a:off x="0" y="0"/>
                                <a:ext cx="4587290" cy="3669832"/>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61.20pt;height:288.96pt;mso-wrap-distance-left:0.00pt;mso-wrap-distance-top:0.00pt;mso-wrap-distance-right:0.00pt;mso-wrap-distance-bottom:0.00pt;z-index:1;" stroked="f" strokeweight="0.75pt">
                      <v:imagedata r:id="rId14" o:title=""/>
                      <o:lock v:ext="edit" rotation="t"/>
                    </v:shape>
                  </w:pict>
                </mc:Fallback>
              </mc:AlternateContent>
            </w:r>
            <w:r/>
          </w:p>
          <w:p>
            <w:pPr>
              <w:pBdr/>
              <w:spacing w:before="200"/>
              <w:ind/>
              <w:jc w:val="left"/>
              <w:rPr/>
            </w:pPr>
            <w:r>
              <w:t xml:space="preserve">Figure 6: The ratio o</w:t>
            </w:r>
            <w:r>
              <w:t xml:space="preserve">f canopy snow unloading (weighed tree residual) to snowmelt across different canopy snow load bins and events. Black dots represent the observed cumulative unloading divided by the cumulative simulated snowmelt from the updated CP25 canopy snow routine in </w:t>
            </w:r>
            <w:r>
              <w:t xml:space="preserve">CRHM. Red dots show the cumulative observed unloading divided by snowmelt measured by the tipping buckets. Multiple dots within a bin correspond to different events. The blue line represents the best-fit line derived from ordinary least squares regression.</w:t>
            </w:r>
            <w:bookmarkEnd w:id="69"/>
            <w:r/>
          </w:p>
        </w:tc>
      </w:tr>
    </w:tbl>
    <w:p>
      <w:pPr>
        <w:pStyle w:val="783"/>
        <w:pBdr/>
        <w:spacing/>
        <w:ind/>
        <w:rPr/>
      </w:pPr>
      <w:r>
        <w:t xml:space="preserve"> </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Style w:val="806"/>
              <w:pBdr/>
              <w:spacing/>
              <w:ind/>
              <w:jc w:val="center"/>
              <w:rPr/>
            </w:pPr>
            <w:r/>
            <w:bookmarkStart w:id="73" w:name="fig-cml-tb"/>
            <w:r>
              <mc:AlternateContent>
                <mc:Choice Requires="wpg">
                  <w:drawing>
                    <wp:inline xmlns:wp="http://schemas.openxmlformats.org/drawingml/2006/wordprocessingDrawing" distT="0" distB="0" distL="0" distR="0">
                      <wp:extent cx="4792337" cy="6389782"/>
                      <wp:effectExtent l="4762" t="4762" r="4762" b="4762"/>
                      <wp:docPr id="7"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figs/results/crhm_vs_tb_drip_events_store_liquid_new_evap6.png"/>
                              <pic:cNvPicPr>
                                <a:picLocks noChangeAspect="1" noChangeArrowheads="1"/>
                              </pic:cNvPicPr>
                              <pic:nvPr/>
                            </pic:nvPicPr>
                            <pic:blipFill>
                              <a:blip r:embed="rId15"/>
                              <a:stretch/>
                            </pic:blipFill>
                            <pic:spPr bwMode="auto">
                              <a:xfrm flipH="0" flipV="0">
                                <a:off x="0" y="0"/>
                                <a:ext cx="4792336" cy="6389782"/>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77.35pt;height:503.13pt;mso-wrap-distance-left:0.00pt;mso-wrap-distance-top:0.00pt;mso-wrap-distance-right:0.00pt;mso-wrap-distance-bottom:0.00pt;z-index:1;" stroked="f" strokeweight="0.75pt">
                      <v:imagedata r:id="rId15" o:title=""/>
                      <o:lock v:ext="edit" rotation="t"/>
                    </v:shape>
                  </w:pict>
                </mc:Fallback>
              </mc:AlternateContent>
            </w:r>
            <w:r/>
          </w:p>
          <w:p>
            <w:pPr>
              <w:pBdr/>
              <w:spacing w:before="200"/>
              <w:ind/>
              <w:jc w:val="left"/>
              <w:rPr/>
            </w:pPr>
            <w:r>
              <w:t xml:space="preserve">Figure 7: Cumulative canopy snow drip from the mean of the four tipping buckets (TB) and simulated in CRHM using Equation 3 (CP25).</w:t>
            </w:r>
            <w:bookmarkEnd w:id="73"/>
            <w:bookmarkEnd w:id="74"/>
            <w:bookmarkEnd w:id="75"/>
            <w:r/>
          </w:p>
        </w:tc>
      </w:tr>
    </w:tbl>
    <w:p>
      <w:pPr>
        <w:pStyle w:val="708"/>
        <w:pBdr/>
        <w:spacing/>
        <w:ind/>
        <w:rPr/>
      </w:pPr>
      <w:r/>
      <w:bookmarkStart w:id="85" w:name="X73fd0c69f5379ac84193b4f6fb3f139d73f2220"/>
      <w:r>
        <w:t xml:space="preserve">6.2 Event-based Evaluation of Canopy Load and Hourly Total Ablation Models</w:t>
      </w:r>
      <w:r/>
    </w:p>
    <w:p>
      <w:pPr>
        <w:pStyle w:val="805"/>
        <w:pBdr/>
        <w:spacing/>
        <w:ind/>
        <w:rPr/>
      </w:pPr>
      <w:r>
        <w:t xml:space="preserve">The updated canopy snow model (CP25)—which incorporates canopy snowmelt and sublimation based on the energy balance (Equation 3), wind-driven unloadi</w:t>
      </w:r>
      <w:r>
        <w:t xml:space="preserve">ng (Equation 11), and melt-induced unloading (Equation 13)—was evaluated against measurements from the weighed tree lysimeter over 17 post-snowfall events. These events had air temperatures ranging from -30.5°C to 6.9°C and wind speeds from calm to 5.3 m s</w:t>
      </w:r>
      <w:r>
        <w:rPr>
          <w:vertAlign w:val="superscript"/>
        </w:rPr>
        <w:t xml:space="preserve">-1</w:t>
      </w:r>
      <w:r>
        <w:t xml:space="preserve"> </w:t>
      </w:r>
      <w:r>
        <w:t xml:space="preserve">(Table 3). Melt events exhibited &gt;95% of ablation from melt related processes, with the exception of the 2022-04-23 </w:t>
      </w:r>
      <w:r>
        <w:t xml:space="preserve">event, where sublimation accounted for 13% of total ablation (Table 3). Events classified as sublimation- or wind-dominated showed negligible melt contributions, typically 0%, with the exception of where melt contributed 5%. Due to the frequent co-occurren</w:t>
      </w:r>
      <w:r>
        <w:t xml:space="preserve">ce of wind and sublimation, these processes could not be as clearly separated from one another; sublimation contributed up to 40% for the wind-dominant events, and similarly, wind-driven unloading contributed up to 40% for the sublimation-dominated events.</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Bdr/>
              <w:spacing w:before="200"/>
              <w:ind/>
              <w:jc w:val="left"/>
              <w:rPr/>
            </w:pPr>
            <w:r/>
            <w:bookmarkStart w:id="76" w:name="tbl-event-met"/>
            <w:r>
              <w:t xml:space="preserve">Table 3: Meteorology of the 17 select ablation events. Air temperature, relative humidity, and wind speed were measured at FT station. The process fractions show the fraction of canopy snow ablation for each process.</w:t>
            </w:r>
            <w:r/>
          </w:p>
          <w:tbl>
            <w:tblPr>
              <w:tblW w:w="5000" w:type="pct"/>
              <w:jc w:val="center"/>
              <w:tblBorders/>
              <w:tblCellMar>
                <w:left w:w="60" w:type="dxa"/>
                <w:top w:w="0" w:type="dxa"/>
                <w:right w:w="60" w:type="dxa"/>
                <w:bottom w:w="0" w:type="dxa"/>
              </w:tblCellMar>
              <w:tblLook w:val="0000" w:firstRow="0" w:lastRow="0" w:firstColumn="0" w:lastColumn="0" w:noHBand="0" w:noVBand="0"/>
            </w:tblPr>
            <w:tblGrid>
              <w:gridCol w:w="1134"/>
              <w:gridCol w:w="1134"/>
              <w:gridCol w:w="1134"/>
              <w:gridCol w:w="1134"/>
              <w:gridCol w:w="1134"/>
              <w:gridCol w:w="1134"/>
              <w:gridCol w:w="1134"/>
              <w:gridCol w:w="1134"/>
              <w:gridCol w:w="1134"/>
              <w:gridCol w:w="1134"/>
              <w:gridCol w:w="1134"/>
              <w:gridCol w:w="1134"/>
              <w:gridCol w:w="1134"/>
              <w:gridCol w:w="1134"/>
            </w:tblGrid>
            <w:tr>
              <w:trPr>
                <w:cantSplit/>
                <w:tblHeader/>
              </w:trPr>
              <w:tc>
                <w:tcPr>
                  <w:tcBorders>
                    <w:top w:val="single" w:color="d3d3d3" w:sz="16" w:space="0"/>
                    <w:left w:val="single" w:color="d3d3d3" w:sz="4" w:space="0"/>
                  </w:tcBorders>
                  <w:textDirection w:val="lrTb"/>
                  <w:noWrap w:val="false"/>
                </w:tcPr>
                <w:p>
                  <w:pPr>
                    <w:keepNext w:val="true"/>
                    <w:pBdr/>
                    <w:spacing w:after="60" w:before="0"/>
                    <w:ind/>
                    <w:rPr/>
                  </w:pPr>
                  <w:r>
                    <w:rPr>
                      <w:rFonts w:ascii="Calibri" w:hAnsi="Calibri"/>
                      <w:sz w:val="20"/>
                    </w:rPr>
                  </w:r>
                  <w:r/>
                </w:p>
              </w:tc>
              <w:tc>
                <w:tcPr>
                  <w:tcBorders>
                    <w:top w:val="single" w:color="d3d3d3" w:sz="16" w:space="0"/>
                  </w:tcBorders>
                  <w:textDirection w:val="lrTb"/>
                  <w:noWrap w:val="false"/>
                </w:tcPr>
                <w:p>
                  <w:pPr>
                    <w:keepNext w:val="true"/>
                    <w:pBdr/>
                    <w:spacing w:after="60" w:before="0"/>
                    <w:ind/>
                    <w:rPr/>
                  </w:pPr>
                  <w:r>
                    <w:rPr>
                      <w:rFonts w:ascii="Calibri" w:hAnsi="Calibri"/>
                      <w:sz w:val="20"/>
                    </w:rPr>
                  </w:r>
                  <w:r/>
                </w:p>
              </w:tc>
              <w:tc>
                <w:tcPr>
                  <w:gridSpan w:val="3"/>
                  <w:tcBorders>
                    <w:top w:val="single" w:color="d3d3d3" w:sz="16" w:space="0"/>
                    <w:bottom w:val="single" w:color="d3d3d3" w:sz="16" w:space="0"/>
                  </w:tcBorders>
                  <w:textDirection w:val="lrTb"/>
                  <w:noWrap w:val="false"/>
                </w:tcPr>
                <w:p>
                  <w:pPr>
                    <w:keepNext w:val="true"/>
                    <w:pBdr/>
                    <w:spacing w:after="60" w:before="0"/>
                    <w:ind/>
                    <w:jc w:val="center"/>
                    <w:rPr/>
                  </w:pPr>
                  <w:r>
                    <w:rPr>
                      <w:rFonts w:ascii="Calibri" w:hAnsi="Calibri"/>
                      <w:sz w:val="20"/>
                    </w:rPr>
                    <w:t xml:space="preserve">Air Temperature (°C)</w:t>
                  </w:r>
                  <w:r/>
                </w:p>
              </w:tc>
              <w:tc>
                <w:tcPr>
                  <w:gridSpan w:val="3"/>
                  <w:tcBorders>
                    <w:top w:val="single" w:color="d3d3d3" w:sz="16" w:space="0"/>
                    <w:bottom w:val="single" w:color="d3d3d3" w:sz="16" w:space="0"/>
                  </w:tcBorders>
                  <w:textDirection w:val="lrTb"/>
                  <w:noWrap w:val="false"/>
                </w:tcPr>
                <w:p>
                  <w:pPr>
                    <w:keepNext w:val="true"/>
                    <w:pBdr/>
                    <w:spacing w:after="60" w:before="0"/>
                    <w:ind/>
                    <w:jc w:val="center"/>
                    <w:rPr/>
                  </w:pPr>
                  <w:r>
                    <w:rPr>
                      <w:rFonts w:ascii="Calibri" w:hAnsi="Calibri"/>
                      <w:sz w:val="20"/>
                    </w:rPr>
                    <w:t xml:space="preserve">Wind Speed (m/s)</w:t>
                  </w:r>
                  <w:r/>
                </w:p>
              </w:tc>
              <w:tc>
                <w:tcPr>
                  <w:gridSpan w:val="3"/>
                  <w:tcBorders>
                    <w:top w:val="single" w:color="d3d3d3" w:sz="16" w:space="0"/>
                    <w:bottom w:val="single" w:color="d3d3d3" w:sz="16" w:space="0"/>
                  </w:tcBorders>
                  <w:textDirection w:val="lrTb"/>
                  <w:noWrap w:val="false"/>
                </w:tcPr>
                <w:p>
                  <w:pPr>
                    <w:keepNext w:val="true"/>
                    <w:pBdr/>
                    <w:spacing w:after="60" w:before="0"/>
                    <w:ind/>
                    <w:jc w:val="center"/>
                    <w:rPr/>
                  </w:pPr>
                  <w:r>
                    <w:rPr>
                      <w:rFonts w:ascii="Calibri" w:hAnsi="Calibri"/>
                      <w:sz w:val="20"/>
                    </w:rPr>
                    <w:t xml:space="preserve">Relative Humidity (%)</w:t>
                  </w:r>
                  <w:r/>
                </w:p>
              </w:tc>
              <w:tc>
                <w:tcPr>
                  <w:gridSpan w:val="3"/>
                  <w:tcBorders>
                    <w:top w:val="single" w:color="d3d3d3" w:sz="16" w:space="0"/>
                    <w:bottom w:val="single" w:color="d3d3d3" w:sz="16"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Process Fraction (-)</w:t>
                  </w:r>
                  <w:r/>
                </w:p>
              </w:tc>
            </w:tr>
            <w:tr>
              <w:trPr>
                <w:cantSplit/>
                <w:tblHeader/>
              </w:trPr>
              <w:tc>
                <w:tcPr>
                  <w:tcBorders>
                    <w:left w:val="single" w:color="d3d3d3" w:sz="4" w:space="0"/>
                    <w:bottom w:val="single" w:color="d3d3d3" w:sz="16" w:space="0"/>
                  </w:tcBorders>
                  <w:textDirection w:val="lrTb"/>
                  <w:noWrap w:val="false"/>
                </w:tcPr>
                <w:p>
                  <w:pPr>
                    <w:keepNext w:val="true"/>
                    <w:pBdr/>
                    <w:spacing w:after="60" w:before="0"/>
                    <w:ind/>
                    <w:jc w:val="center"/>
                    <w:rPr/>
                  </w:pPr>
                  <w:r>
                    <w:rPr>
                      <w:rFonts w:ascii="Calibri" w:hAnsi="Calibri"/>
                      <w:sz w:val="20"/>
                    </w:rPr>
                    <w:t xml:space="preserve">Start Date</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Event Type</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Min</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Mean</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Max</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Min</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Mean</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Max</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Min</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Mean</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Max</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Melt</w:t>
                  </w:r>
                  <w:r/>
                </w:p>
              </w:tc>
              <w:tc>
                <w:tcPr>
                  <w:tcBorders>
                    <w:bottom w:val="single" w:color="d3d3d3" w:sz="16" w:space="0"/>
                  </w:tcBorders>
                  <w:textDirection w:val="lrTb"/>
                  <w:noWrap w:val="false"/>
                </w:tcPr>
                <w:p>
                  <w:pPr>
                    <w:keepNext w:val="true"/>
                    <w:pBdr/>
                    <w:spacing w:after="60" w:before="0"/>
                    <w:ind/>
                    <w:jc w:val="center"/>
                    <w:rPr/>
                  </w:pPr>
                  <w:r>
                    <w:rPr>
                      <w:rFonts w:ascii="Calibri" w:hAnsi="Calibri"/>
                      <w:sz w:val="20"/>
                    </w:rPr>
                    <w:t xml:space="preserve">Wind</w:t>
                  </w:r>
                  <w:r/>
                </w:p>
              </w:tc>
              <w:tc>
                <w:tcPr>
                  <w:tcBorders>
                    <w:bottom w:val="single" w:color="d3d3d3" w:sz="16"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Subl.</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2022-04-23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melt</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35.8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60.2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82.8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0.85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0.13</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2022-06-14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melt</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6.9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66.6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90.6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99.8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-0.01</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2022-06-24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melt</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82.5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89.7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97.8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-0.01</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2023-05-08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melt</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4.4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91.1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96.7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98.6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-0.01</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2023-06-15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melt</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6.8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76.7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93.3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99.4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0.99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-0.01</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2023-06-21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melt</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81.3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95.0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0.95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2022-03-09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mixed</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-25.2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-15.7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-7.6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35.3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62.4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0.42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0.58</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2022-03-29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mixed</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4.7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31.1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57.1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93.2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0.52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0.45</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2022-04-21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mixed</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-7.2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47.8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65.9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95.2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0.49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0.45</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2022-03-02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sublimation</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59.4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88.0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97.6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0.38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0.63</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2022-03-20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sublimation</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-6.0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44.4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63.4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89.7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0.14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0.87</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2022-03-24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sublimation</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29.3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55.0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99.6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0.20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0.76</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2023-03-14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sublimation</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-12.4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-6.6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22.7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59.4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89.3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0.37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0.63</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2023-04-17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sublimation</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-6.4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-4.4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4.3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23.8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50.6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85.7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0.18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0.86</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2022-12-01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wind</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-21.7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-13.8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-3.1</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4.5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41.0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83.6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0.76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0.24</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2023-02-24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wind</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-30.5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-21.3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-14.8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53.9</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83.5</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0.87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0.14</w:t>
                  </w:r>
                  <w:r/>
                </w:p>
              </w:tc>
            </w:tr>
            <w:tr>
              <w:trPr>
                <w:cantSplit/>
              </w:trPr>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2023-02-26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wind</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-12.8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-11.8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-10.3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0.8</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1.4</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2.0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70.6</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82.7</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95.3</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0.00</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0.62</w:t>
                  </w:r>
                  <w:r/>
                </w:p>
              </w:tc>
              <w:tc>
                <w:tcPr>
                  <w:tcBorders>
                    <w:top w:val="single" w:color="d3d3d3" w:sz="4" w:space="0"/>
                    <w:left w:val="single" w:color="d3d3d3" w:sz="4" w:space="0"/>
                    <w:bottom w:val="single" w:color="d3d3d3" w:sz="4" w:space="0"/>
                    <w:right w:val="single" w:color="d3d3d3" w:sz="4" w:space="0"/>
                  </w:tcBorders>
                  <w:textDirection w:val="lrTb"/>
                  <w:noWrap w:val="false"/>
                </w:tcPr>
                <w:p>
                  <w:pPr>
                    <w:keepNext w:val="true"/>
                    <w:pBdr/>
                    <w:spacing w:after="60" w:before="0"/>
                    <w:ind/>
                    <w:jc w:val="center"/>
                    <w:rPr/>
                  </w:pPr>
                  <w:r>
                    <w:rPr>
                      <w:rFonts w:ascii="Calibri" w:hAnsi="Calibri"/>
                      <w:sz w:val="20"/>
                    </w:rPr>
                    <w:t xml:space="preserve">0.41</w:t>
                  </w:r>
                  <w:bookmarkEnd w:id="76"/>
                  <w:r/>
                </w:p>
              </w:tc>
            </w:tr>
          </w:tbl>
          <w:p/>
        </w:tc>
      </w:tr>
    </w:tbl>
    <w:p>
      <w:pPr>
        <w:pStyle w:val="783"/>
        <w:pBdr/>
        <w:spacing/>
        <w:ind/>
        <w:rPr/>
      </w:pPr>
      <w:r>
        <w:t xml:space="preserve">Simulated canopy snow load using the CP25 model closely matched the wei</w:t>
      </w:r>
      <w:r>
        <w:t xml:space="preserve">ghed tree observations across all 17 events, demonstrating the most consistent agreement among the models evaluated (Fig. 8). When averaged by event type, CP25 maintained a consistently low mean bias, in contrast to existing models, which exhibited larger </w:t>
      </w:r>
      <w:r>
        <w:t xml:space="preserve">and more variable biases (Fig. 9). The large declines in canopy snow load for E10 (Fig. 8) are due to the maximum canopy snow load used in this model which ranged from 7 to 12 mm depending on the fresh snow density (which is a function of air temperature).</w:t>
      </w:r>
      <w:r/>
    </w:p>
    <w:p>
      <w:pPr>
        <w:pStyle w:val="783"/>
        <w:pBdr/>
        <w:spacing/>
        <w:ind/>
        <w:rPr/>
      </w:pPr>
      <w:r>
        <w:t xml:space="preserve">For the melt events, the two energy balance based models (SA09 and CP25) slightly over estimate the rate of canopy snowmelt and unloading, resulting in negative mean biases of 0.04 mm hr</w:t>
      </w:r>
      <w:r>
        <w:rPr>
          <w:vertAlign w:val="superscript"/>
        </w:rPr>
        <w:t xml:space="preserve">-1</w:t>
      </w:r>
      <w:r>
        <w:t xml:space="preserve"> </w:t>
      </w:r>
      <w:r>
        <w:t xml:space="preserve">and -0.09 mm hr</w:t>
      </w:r>
      <w:r>
        <w:rPr>
          <w:vertAlign w:val="superscript"/>
        </w:rPr>
        <w:t xml:space="preserve">-1</w:t>
      </w:r>
      <w:r>
        <w:t xml:space="preserve"> </w:t>
      </w:r>
      <w:r>
        <w:t xml:space="preserve">for CP25 and SA09 respectively. The slight improvement for CP25 compared to SA09 comes from the better representation of the increase in unloading for higher canopy snow loads as observed for the 2022-06-14 event which had much higher</w:t>
      </w:r>
      <w:r>
        <w:t xml:space="preserve"> snow load of 30 mm. The air temperature (R01) and ice-bulb temperature (E10) models have much less consistency over these events and resulted in much greater range in mean biases for the temperature based methods (Fig. 9) and a mean bias of over 0.45mm hr</w:t>
      </w:r>
      <w:r>
        <w:rPr>
          <w:vertAlign w:val="superscript"/>
        </w:rPr>
        <w:t xml:space="preserve">-1</w:t>
      </w:r>
      <w:r>
        <w:t xml:space="preserve">.</w:t>
      </w:r>
      <w:r/>
    </w:p>
    <w:p>
      <w:pPr>
        <w:pStyle w:val="783"/>
        <w:pBdr/>
        <w:spacing/>
        <w:ind/>
        <w:rPr/>
      </w:pPr>
      <w:r>
        <w:t xml:space="preserve">The simulated canopy liquid water capacities of the CP25 and SA09 models are evident during all melt events where the simulated rate of ablation slows for small canopy snow loads below ~1.5 mm and ~0.3 mm for CP25 a</w:t>
      </w:r>
      <w:r>
        <w:t xml:space="preserve">nd SA09 respectively. For events other than 2022-04-23, the observed decline in the total ablation rate tends to initiate at canopy loads around 2 to 3 mm—higher than those predicted by CP25 and SA09. This discrepancy may result not only from differences i</w:t>
      </w:r>
      <w:r>
        <w:t xml:space="preserve">n liquid water storage capacity but also from the presence of refrozen meltwater, which likely sublimates and/or melts more slowly than snow. However, both the CP25 and SA09 models treat the refrozen meltwater as new additions to the canopy snow reservoir.</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Style w:val="806"/>
              <w:pBdr/>
              <w:spacing/>
              <w:ind/>
              <w:jc w:val="center"/>
              <w:rPr/>
            </w:pPr>
            <w:r/>
            <w:bookmarkStart w:id="80" w:name="fig-obs-mod-w-tree"/>
            <w:r>
              <mc:AlternateContent>
                <mc:Choice Requires="wpg">
                  <w:drawing>
                    <wp:inline xmlns:wp="http://schemas.openxmlformats.org/drawingml/2006/wordprocessingDrawing" distT="0" distB="0" distL="0" distR="0">
                      <wp:extent cx="6362700" cy="6736976"/>
                      <wp:effectExtent l="0" t="0" r="0" b="0"/>
                      <wp:docPr id="8"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descr="figs/crhm-analysis/model-comparison/obs_mod_canopy_snow_load_store_liquid_new_evap6.png"/>
                              <pic:cNvPicPr>
                                <a:picLocks noChangeAspect="1" noChangeArrowheads="1"/>
                              </pic:cNvPicPr>
                              <pic:nvPr/>
                            </pic:nvPicPr>
                            <pic:blipFill>
                              <a:blip r:embed="rId16"/>
                              <a:stretch/>
                            </pic:blipFill>
                            <pic:spPr bwMode="auto">
                              <a:xfrm>
                                <a:off x="0" y="0"/>
                                <a:ext cx="6362700" cy="6736976"/>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01.00pt;height:530.47pt;mso-wrap-distance-left:0.00pt;mso-wrap-distance-top:0.00pt;mso-wrap-distance-right:0.00pt;mso-wrap-distance-bottom:0.00pt;z-index:1;" stroked="f" strokeweight="0.75pt">
                      <v:imagedata r:id="rId16" o:title=""/>
                      <o:lock v:ext="edit" rotation="t"/>
                    </v:shape>
                  </w:pict>
                </mc:Fallback>
              </mc:AlternateContent>
            </w:r>
            <w:r/>
          </w:p>
          <w:p>
            <w:pPr>
              <w:pBdr/>
              <w:spacing w:before="200"/>
              <w:ind/>
              <w:jc w:val="left"/>
              <w:rPr/>
            </w:pPr>
            <w:r>
              <w:t xml:space="preserve">Figure 8: Time series of canopy snow load for individual events measured by the weighed tree (Observed) and simulated using the various models.</w:t>
            </w:r>
            <w:bookmarkEnd w:id="80"/>
            <w:r/>
          </w:p>
        </w:tc>
      </w:tr>
    </w:tbl>
    <w:p>
      <w:pPr>
        <w:pStyle w:val="783"/>
        <w:pBdr/>
        <w:spacing/>
        <w:ind/>
        <w:rPr/>
      </w:pPr>
      <w:r>
        <w:t xml:space="preserve">For the sublimation events, all models performed well with mean biases ranging from -0.01 to 0.02 mm hr</w:t>
      </w:r>
      <w:r>
        <w:rPr>
          <w:vertAlign w:val="superscript"/>
        </w:rPr>
        <w:t xml:space="preserve">-1</w:t>
      </w:r>
      <w:r>
        <w:t xml:space="preserve">, with a slight improvement in the the mean bias of the updated routine of 0.004 mm hr</w:t>
      </w:r>
      <w:r>
        <w:rPr>
          <w:vertAlign w:val="superscript"/>
        </w:rPr>
        <w:t xml:space="preserve">-1</w:t>
      </w:r>
      <w:r>
        <w:t xml:space="preserve"> </w:t>
      </w:r>
      <w:r>
        <w:t xml:space="preserve">(Fig. 9). An over estimation of canopy snowmelt by the ice-bulb temperature based E10 model causes the steep initial decline in canopy snow load for event 2022-03-02 which is not registered by the weighed tree or other models. However,</w:t>
      </w:r>
      <w:r>
        <w:t xml:space="preserve"> the overestimation of ablation for this event by E10 is balanced out by underestimates for other sublimation events with some wind-driven unloading as this process is not included in this model (Table 3). For events 2022-03-02 and 2023-03-14 the R01 model</w:t>
      </w:r>
      <w:r>
        <w:t xml:space="preserve"> overestimates canopy snow ablation due to an over estimation of wind-driven unloading (Fig. 8). The energy balance based routines are better able to represent the reduction in sublimation during cool clear nights, resulting from longwave radiation losses,</w:t>
      </w:r>
      <w:r>
        <w:t xml:space="preserve"> and can be seen during some of the sublimation event nighttime periods, especially for the SA09 model which does not include wind-driven unloading (see 2022-03-24 and 2023-03-14 in Fig. 8). The E10 and R01 models estimate canopy snow sublimation using the</w:t>
      </w:r>
      <w:r>
        <w:t xml:space="preserve"> </w:t>
      </w:r>
      <w:r>
        <w:t xml:space="preserve">Pomeroy et al. (1998)</w:t>
      </w:r>
      <w:r>
        <w:t xml:space="preserve"> </w:t>
      </w:r>
      <w:r>
        <w:t xml:space="preserve">analytical model, which assumes that the canopy snow surface temperature remains in thermoequilibrium with the air temperature (Fig. 8). For the 202</w:t>
      </w:r>
      <w:r>
        <w:t xml:space="preserve">2-03-24 event, the CP25 and SA09 models initially underestimate the ablation rate which coincides with ~90% relative humidity and -5°C air temperatures followed by a steep increase in sublimation as temperatures warm above 0°C and relative humidity drops b</w:t>
      </w:r>
      <w:r>
        <w:t xml:space="preserve">elow 30%. Uncertainty in the air temperature, humidity, and radiation measurements used to drive the energy balance based models in addition to simplifications in the energy balance are interpreted to explain some of the simulation errors by CP25 and SA09.</w:t>
      </w:r>
      <w:r/>
    </w:p>
    <w:p>
      <w:pPr>
        <w:pStyle w:val="783"/>
        <w:pBdr/>
        <w:spacing/>
        <w:ind/>
        <w:rPr/>
      </w:pPr>
      <w:r>
        <w:t xml:space="preserve">The importance of representing wind-driven unloading is highlighted during wind-dominated events, where models that simulate this process exhibiting lower mean bias of 0.21 mm hr</w:t>
      </w:r>
      <w:r>
        <w:rPr>
          <w:vertAlign w:val="superscript"/>
        </w:rPr>
        <w:t xml:space="preserve">-1</w:t>
      </w:r>
      <w:r>
        <w:t xml:space="preserve"> </w:t>
      </w:r>
      <w:r>
        <w:t xml:space="preserve">for R01 and 0.29 mm hr</w:t>
      </w:r>
      <w:r>
        <w:rPr>
          <w:vertAlign w:val="superscript"/>
        </w:rPr>
        <w:t xml:space="preserve">-1</w:t>
      </w:r>
      <w:r>
        <w:t xml:space="preserve"> </w:t>
      </w:r>
      <w:r>
        <w:t xml:space="preserve">for CP25. In contrast, simulations that do not explicitly account for wind-driven unloading showed a higher mean bias exceeding 0.59 mm hr</w:t>
      </w:r>
      <w:r>
        <w:rPr>
          <w:vertAlign w:val="superscript"/>
        </w:rPr>
        <w:t xml:space="preserve">-1</w:t>
      </w:r>
      <w:r>
        <w:t xml:space="preserve"> </w:t>
      </w:r>
      <w:r>
        <w:t xml:space="preserve">(Fig. 9). Although the E10 model does not include wind-driven unloading, it performs be</w:t>
      </w:r>
      <w:r>
        <w:t xml:space="preserve">st for the 2023-02-26 event (Fig. 8) due to its relatively slow time-based unloading rate compared to CP25 and R01 which over estimate total ablation for this event. The R01 model over estimates the mean event unloading for events 2022-12-01 and 2023-02-26</w:t>
      </w:r>
      <w:r>
        <w:t xml:space="preserve"> suggesting the rate of unloading coefficient may be too high for this site. The CP25 model is slightly more stable across the three wind-dominant events, but still underestimates total ablation for event 2023-02-24 which has peak wind speeds of over 5 m s</w:t>
      </w:r>
      <w:r>
        <w:rPr>
          <w:vertAlign w:val="superscript"/>
        </w:rPr>
        <w:t xml:space="preserve">-1</w:t>
      </w:r>
      <w:r>
        <w:t xml:space="preserve">. Over this event, 1.3 mm of snow entered the adjacent precipitation gauge and is interpreted to be from wind transport, as observed clear skies confirmed no atmospheric precipitation. The amount of snow observed to unload from the canopy into the sub</w:t>
      </w:r>
      <w:r>
        <w:t xml:space="preserve">canopy lysimeters during this event was consistent with simulated unloading in CRHM (see supporting information) suggesting that the remaining unaccounted-for snow was likely entrained into the atmosphere and sublimated and/or transported to distant sites.</w:t>
      </w:r>
      <w:r/>
    </w:p>
    <w:p>
      <w:pPr>
        <w:pStyle w:val="783"/>
        <w:pBdr/>
        <w:spacing/>
        <w:ind/>
        <w:rPr/>
      </w:pPr>
      <w:r>
        <w:t xml:space="preserve">For events where wind-driven unloading and sublimation both contribute significantly—i.e., 2022-03-09, 2022-03-02, 2023-03-14, and 2023-02-26, each with more than 0.4 contribution from both processes—the u</w:t>
      </w:r>
      <w:r>
        <w:t xml:space="preserve">pdated routine shows the highest consistency with observations (Fig. 8). In contrast, the mixed events on 2022-03-29 and 2022-04-21, which involved more than 0.45 contribution from both melt and sublimation, were best represented by the E10 model (Fig. 8).</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Style w:val="806"/>
              <w:pBdr/>
              <w:spacing/>
              <w:ind/>
              <w:jc w:val="center"/>
              <w:rPr/>
            </w:pPr>
            <w:r/>
            <w:bookmarkStart w:id="84" w:name="fig-cpy-load-mb-boxplot"/>
            <w:r>
              <mc:AlternateContent>
                <mc:Choice Requires="wpg">
                  <w:drawing>
                    <wp:inline xmlns:wp="http://schemas.openxmlformats.org/drawingml/2006/wordprocessingDrawing" distT="0" distB="0" distL="0" distR="0">
                      <wp:extent cx="6362700" cy="3181350"/>
                      <wp:effectExtent l="0" t="0" r="0" b="0"/>
                      <wp:docPr id="9"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figs/crhm-analysis/model-comparison/obs_mod_canopy_snow_load_event_type_mean_bias_boxplot_store_liquid_new_evap6.png"/>
                              <pic:cNvPicPr>
                                <a:picLocks noChangeAspect="1" noChangeArrowheads="1"/>
                              </pic:cNvPicPr>
                              <pic:nvPr/>
                            </pic:nvPicPr>
                            <pic:blipFill>
                              <a:blip r:embed="rId17"/>
                              <a:stretch/>
                            </pic:blipFill>
                            <pic:spPr bwMode="auto">
                              <a:xfrm>
                                <a:off x="0" y="0"/>
                                <a:ext cx="6362700" cy="3181350"/>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01.00pt;height:250.50pt;mso-wrap-distance-left:0.00pt;mso-wrap-distance-top:0.00pt;mso-wrap-distance-right:0.00pt;mso-wrap-distance-bottom:0.00pt;z-index:1;" stroked="f" strokeweight="0.75pt">
                      <v:imagedata r:id="rId17" o:title=""/>
                      <o:lock v:ext="edit" rotation="t"/>
                    </v:shape>
                  </w:pict>
                </mc:Fallback>
              </mc:AlternateContent>
            </w:r>
            <w:r/>
          </w:p>
          <w:p>
            <w:pPr>
              <w:pBdr/>
              <w:spacing w:before="200"/>
              <w:ind/>
              <w:jc w:val="left"/>
              <w:rPr/>
            </w:pPr>
            <w:r>
              <w:t xml:space="preserve">Figure 9: Boxplots illustrating the distribution of mean event biases across different parameterisation sets for each event type, evaluated using observations from the weighed tree. The rectangle vertical extent represents the interquarti</w:t>
            </w:r>
            <w:r>
              <w:t xml:space="preserve">le range (IQR), the horizontal line within each box indicates the median, and the whiskers extend to 1.5 times the IQR. Cicular points beyond the whiskers represent outliers. The diamond represents the mean of the event biases and the triangle is the RMSE.</w:t>
            </w:r>
            <w:bookmarkEnd w:id="84"/>
            <w:bookmarkEnd w:id="85"/>
            <w:r/>
          </w:p>
        </w:tc>
      </w:tr>
    </w:tbl>
    <w:p>
      <w:pPr>
        <w:pStyle w:val="708"/>
        <w:pBdr/>
        <w:spacing/>
        <w:ind/>
        <w:rPr/>
      </w:pPr>
      <w:r/>
      <w:bookmarkStart w:id="91" w:name="canopy-snow-partitioning"/>
      <w:r>
        <w:t xml:space="preserve">6.3 Canopy Snow Partitioning</w:t>
      </w:r>
      <w:r/>
    </w:p>
    <w:p>
      <w:pPr>
        <w:pStyle w:val="805"/>
        <w:pBdr/>
        <w:spacing/>
        <w:ind/>
        <w:rPr/>
      </w:pPr>
      <w:r>
        <w:t xml:space="preserve">During melt-dominated events, all f</w:t>
      </w:r>
      <w:r>
        <w:t xml:space="preserve">our parameterisations showed relatively consistent partitioning of canopy snow, with most being delivered to the ground via unloading and drip, and only a small fraction returned to the atmosphere through sublimation and evaporation of melted snow (Fig. 10</w:t>
      </w:r>
      <w:r>
        <w:t xml:space="preserve">). For the sublimation-dominated events, the two parameterisations that include wind-driven unloading (R01 and CP25) had differing fractions of snow unloading to the ground with a higher fraction for R01 due to the higher wind-driven unloading rate compare</w:t>
      </w:r>
      <w:r>
        <w:t xml:space="preserve">d to CP25. However, SA09 partitioned all snow back to the atmosphere via sublimation despite the moderate wind speeds observed over the sublimation events. The E10 parameterisation resulted in a greater fraction of snow reaching the ground compared to CP25</w:t>
      </w:r>
      <w:r>
        <w:t xml:space="preserve"> for 4 out of 5 of the sublimation events, due to the temporal unloading parameterisation in E10. For the wind events, R01 unloaded the highest fraction of snow to the ground over all three events compared to the other models. The SA09 parameterisation, si</w:t>
      </w:r>
      <w:r>
        <w:t xml:space="preserve">milar to the sublimation events, returned all intercepted snow back to the atmosphere due to the absence of a wind-driven unloading parameterisation. Although CP25 and E10 include differing unloading processes, when averaged over all events the have a simi</w:t>
      </w:r>
      <w:r>
        <w:t xml:space="preserve">lar fraction of snow reaching the ground (70%) versus the atmosphere (30%) (Table 4). SA09 has the largest discrepancy which returned 40% of intercepted snow back to the atmosphere and the R01 with the least amount of snow reaching the atmosphere with 24%.</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Style w:val="806"/>
              <w:pBdr/>
              <w:spacing/>
              <w:ind/>
              <w:jc w:val="center"/>
              <w:rPr/>
            </w:pPr>
            <w:r/>
            <w:bookmarkStart w:id="89" w:name="fig-partitioning"/>
            <w:r>
              <mc:AlternateContent>
                <mc:Choice Requires="wpg">
                  <w:drawing>
                    <wp:inline xmlns:wp="http://schemas.openxmlformats.org/drawingml/2006/wordprocessingDrawing" distT="0" distB="0" distL="0" distR="0">
                      <wp:extent cx="6362700" cy="6736976"/>
                      <wp:effectExtent l="0" t="0" r="0" b="0"/>
                      <wp:docPr id="10"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descr="figs/crhm-analysis/partitioning/ablation_partition_atmosphere_ground_by_event.png"/>
                              <pic:cNvPicPr>
                                <a:picLocks noChangeAspect="1" noChangeArrowheads="1"/>
                              </pic:cNvPicPr>
                              <pic:nvPr/>
                            </pic:nvPicPr>
                            <pic:blipFill>
                              <a:blip r:embed="rId18"/>
                              <a:stretch/>
                            </pic:blipFill>
                            <pic:spPr bwMode="auto">
                              <a:xfrm>
                                <a:off x="0" y="0"/>
                                <a:ext cx="6362700" cy="6736976"/>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01.00pt;height:530.47pt;mso-wrap-distance-left:0.00pt;mso-wrap-distance-top:0.00pt;mso-wrap-distance-right:0.00pt;mso-wrap-distance-bottom:0.00pt;z-index:1;" stroked="f" strokeweight="0.75pt">
                      <v:imagedata r:id="rId18" o:title=""/>
                      <o:lock v:ext="edit" rotation="t"/>
                    </v:shape>
                  </w:pict>
                </mc:Fallback>
              </mc:AlternateContent>
            </w:r>
            <w:r/>
          </w:p>
          <w:p>
            <w:pPr>
              <w:pBdr/>
              <w:spacing w:before="200"/>
              <w:ind/>
              <w:jc w:val="left"/>
              <w:rPr/>
            </w:pPr>
            <w:r>
              <w:t xml:space="preserve">Figure 10: Bar chart illustrating the proportion of intercepted snow that was either lost to the atmosphere or transferred to the ground through unloading or melt for each of the 17 selected ablation events.</w:t>
            </w:r>
            <w:bookmarkEnd w:id="89"/>
            <w:r/>
          </w:p>
        </w:tc>
      </w:tr>
    </w:tbl>
    <w:p>
      <w:pPr>
        <w:pStyle w:val="783"/>
        <w:pBdr/>
        <w:spacing/>
        <w:ind/>
        <w:rPr/>
      </w:pPr>
      <w:r>
        <w:t xml:space="preserve"> </w:t>
      </w:r>
      <w:r/>
    </w:p>
    <w:tbl>
      <w:tblPr>
        <w:tblW w:w="5000" w:type="pct"/>
        <w:tblBorders/>
        <w:tblLayout w:type="fixed"/>
        <w:tblLook w:val="0000" w:firstRow="0" w:lastRow="0" w:firstColumn="0" w:lastColumn="0" w:noHBand="0" w:noVBand="0"/>
      </w:tblPr>
      <w:tblGrid>
        <w:gridCol w:w="7920"/>
      </w:tblGrid>
      <w:tr>
        <w:trPr/>
        <w:tc>
          <w:tcPr>
            <w:tcBorders/>
            <w:textDirection w:val="lrTb"/>
            <w:noWrap w:val="false"/>
          </w:tcPr>
          <w:p>
            <w:pPr>
              <w:pBdr/>
              <w:spacing w:before="200"/>
              <w:ind/>
              <w:jc w:val="left"/>
              <w:rPr/>
            </w:pPr>
            <w:r/>
            <w:bookmarkStart w:id="90" w:name="tbl-frac-atm-ground"/>
            <w:r>
              <w:t xml:space="preserve">Table 4: Fraction of intercepted snow returned to the atmosphere or input to the ground for each parameterisation over the 17 select ablation events.</w:t>
            </w:r>
            <w:r/>
          </w:p>
          <w:tbl>
            <w:tblPr>
              <w:tblW w:w="0" w:type="auto"/>
              <w:tblBorders/>
              <w:tblLook w:val="0020" w:firstRow="1" w:lastRow="0" w:firstColumn="0" w:lastColumn="0" w:noHBand="0" w:noVBand="0"/>
            </w:tblPr>
            <w:tblGrid>
              <w:gridCol w:w="2640"/>
              <w:gridCol w:w="2640"/>
              <w:gridCol w:w="2640"/>
            </w:tblGrid>
            <w:tr>
              <w:trPr>
                <w:tblHeader/>
              </w:trPr>
              <w:tc>
                <w:tcPr>
                  <w:tcBorders/>
                  <w:textDirection w:val="lrTb"/>
                  <w:noWrap w:val="false"/>
                </w:tcPr>
                <w:p>
                  <w:pPr>
                    <w:pStyle w:val="806"/>
                    <w:pBdr/>
                    <w:spacing/>
                    <w:ind/>
                    <w:jc w:val="center"/>
                    <w:rPr/>
                  </w:pPr>
                  <w:r>
                    <w:t xml:space="preserve">Model</w:t>
                  </w:r>
                  <w:r/>
                </w:p>
              </w:tc>
              <w:tc>
                <w:tcPr>
                  <w:tcBorders/>
                  <w:textDirection w:val="lrTb"/>
                  <w:noWrap w:val="false"/>
                </w:tcPr>
                <w:p>
                  <w:pPr>
                    <w:pStyle w:val="806"/>
                    <w:pBdr/>
                    <w:spacing/>
                    <w:ind/>
                    <w:jc w:val="center"/>
                    <w:rPr/>
                  </w:pPr>
                  <w:r>
                    <w:t xml:space="preserve">Atmosphere (-)</w:t>
                  </w:r>
                  <w:r/>
                </w:p>
              </w:tc>
              <w:tc>
                <w:tcPr>
                  <w:tcBorders/>
                  <w:textDirection w:val="lrTb"/>
                  <w:noWrap w:val="false"/>
                </w:tcPr>
                <w:p>
                  <w:pPr>
                    <w:pStyle w:val="806"/>
                    <w:pBdr/>
                    <w:spacing/>
                    <w:ind/>
                    <w:jc w:val="center"/>
                    <w:rPr/>
                  </w:pPr>
                  <w:r>
                    <w:t xml:space="preserve">Ground (-)</w:t>
                  </w:r>
                  <w:r/>
                </w:p>
              </w:tc>
            </w:tr>
            <w:tr>
              <w:trPr/>
              <w:tc>
                <w:tcPr>
                  <w:tcBorders/>
                  <w:textDirection w:val="lrTb"/>
                  <w:noWrap w:val="false"/>
                </w:tcPr>
                <w:p>
                  <w:pPr>
                    <w:pStyle w:val="806"/>
                    <w:pBdr/>
                    <w:spacing/>
                    <w:ind/>
                    <w:jc w:val="center"/>
                    <w:rPr/>
                  </w:pPr>
                  <w:r>
                    <w:t xml:space="preserve">CP25</w:t>
                  </w:r>
                  <w:r/>
                </w:p>
              </w:tc>
              <w:tc>
                <w:tcPr>
                  <w:tcBorders/>
                  <w:textDirection w:val="lrTb"/>
                  <w:noWrap w:val="false"/>
                </w:tcPr>
                <w:p>
                  <w:pPr>
                    <w:pStyle w:val="806"/>
                    <w:pBdr/>
                    <w:spacing/>
                    <w:ind/>
                    <w:jc w:val="center"/>
                    <w:rPr/>
                  </w:pPr>
                  <w:r>
                    <w:t xml:space="preserve">0.29</w:t>
                  </w:r>
                  <w:r/>
                </w:p>
              </w:tc>
              <w:tc>
                <w:tcPr>
                  <w:tcBorders/>
                  <w:textDirection w:val="lrTb"/>
                  <w:noWrap w:val="false"/>
                </w:tcPr>
                <w:p>
                  <w:pPr>
                    <w:pStyle w:val="806"/>
                    <w:pBdr/>
                    <w:spacing/>
                    <w:ind/>
                    <w:jc w:val="center"/>
                    <w:rPr/>
                  </w:pPr>
                  <w:r>
                    <w:t xml:space="preserve">0.71</w:t>
                  </w:r>
                  <w:r/>
                </w:p>
              </w:tc>
            </w:tr>
            <w:tr>
              <w:trPr/>
              <w:tc>
                <w:tcPr>
                  <w:tcBorders/>
                  <w:textDirection w:val="lrTb"/>
                  <w:noWrap w:val="false"/>
                </w:tcPr>
                <w:p>
                  <w:pPr>
                    <w:pStyle w:val="806"/>
                    <w:pBdr/>
                    <w:spacing/>
                    <w:ind/>
                    <w:jc w:val="center"/>
                    <w:rPr/>
                  </w:pPr>
                  <w:r>
                    <w:t xml:space="preserve">E10</w:t>
                  </w:r>
                  <w:r/>
                </w:p>
              </w:tc>
              <w:tc>
                <w:tcPr>
                  <w:tcBorders/>
                  <w:textDirection w:val="lrTb"/>
                  <w:noWrap w:val="false"/>
                </w:tcPr>
                <w:p>
                  <w:pPr>
                    <w:pStyle w:val="806"/>
                    <w:pBdr/>
                    <w:spacing/>
                    <w:ind/>
                    <w:jc w:val="center"/>
                    <w:rPr/>
                  </w:pPr>
                  <w:r>
                    <w:t xml:space="preserve">0.31</w:t>
                  </w:r>
                  <w:r/>
                </w:p>
              </w:tc>
              <w:tc>
                <w:tcPr>
                  <w:tcBorders/>
                  <w:textDirection w:val="lrTb"/>
                  <w:noWrap w:val="false"/>
                </w:tcPr>
                <w:p>
                  <w:pPr>
                    <w:pStyle w:val="806"/>
                    <w:pBdr/>
                    <w:spacing/>
                    <w:ind/>
                    <w:jc w:val="center"/>
                    <w:rPr/>
                  </w:pPr>
                  <w:r>
                    <w:t xml:space="preserve">0.69</w:t>
                  </w:r>
                  <w:r/>
                </w:p>
              </w:tc>
            </w:tr>
            <w:tr>
              <w:trPr/>
              <w:tc>
                <w:tcPr>
                  <w:tcBorders/>
                  <w:textDirection w:val="lrTb"/>
                  <w:noWrap w:val="false"/>
                </w:tcPr>
                <w:p>
                  <w:pPr>
                    <w:pStyle w:val="806"/>
                    <w:pBdr/>
                    <w:spacing/>
                    <w:ind/>
                    <w:jc w:val="center"/>
                    <w:rPr/>
                  </w:pPr>
                  <w:r>
                    <w:t xml:space="preserve">R01</w:t>
                  </w:r>
                  <w:r/>
                </w:p>
              </w:tc>
              <w:tc>
                <w:tcPr>
                  <w:tcBorders/>
                  <w:textDirection w:val="lrTb"/>
                  <w:noWrap w:val="false"/>
                </w:tcPr>
                <w:p>
                  <w:pPr>
                    <w:pStyle w:val="806"/>
                    <w:pBdr/>
                    <w:spacing/>
                    <w:ind/>
                    <w:jc w:val="center"/>
                    <w:rPr/>
                  </w:pPr>
                  <w:r>
                    <w:t xml:space="preserve">0.24</w:t>
                  </w:r>
                  <w:r/>
                </w:p>
              </w:tc>
              <w:tc>
                <w:tcPr>
                  <w:tcBorders/>
                  <w:textDirection w:val="lrTb"/>
                  <w:noWrap w:val="false"/>
                </w:tcPr>
                <w:p>
                  <w:pPr>
                    <w:pStyle w:val="806"/>
                    <w:pBdr/>
                    <w:spacing/>
                    <w:ind/>
                    <w:jc w:val="center"/>
                    <w:rPr/>
                  </w:pPr>
                  <w:r>
                    <w:t xml:space="preserve">0.76</w:t>
                  </w:r>
                  <w:r/>
                </w:p>
              </w:tc>
            </w:tr>
            <w:tr>
              <w:trPr/>
              <w:tc>
                <w:tcPr>
                  <w:tcBorders/>
                  <w:textDirection w:val="lrTb"/>
                  <w:noWrap w:val="false"/>
                </w:tcPr>
                <w:p>
                  <w:pPr>
                    <w:pStyle w:val="806"/>
                    <w:pBdr/>
                    <w:spacing/>
                    <w:ind/>
                    <w:jc w:val="center"/>
                    <w:rPr/>
                  </w:pPr>
                  <w:r>
                    <w:t xml:space="preserve">SA09</w:t>
                  </w:r>
                  <w:r/>
                </w:p>
              </w:tc>
              <w:tc>
                <w:tcPr>
                  <w:tcBorders/>
                  <w:textDirection w:val="lrTb"/>
                  <w:noWrap w:val="false"/>
                </w:tcPr>
                <w:p>
                  <w:pPr>
                    <w:pStyle w:val="806"/>
                    <w:pBdr/>
                    <w:spacing/>
                    <w:ind/>
                    <w:jc w:val="center"/>
                    <w:rPr/>
                  </w:pPr>
                  <w:r>
                    <w:t xml:space="preserve">0.40</w:t>
                  </w:r>
                  <w:r/>
                </w:p>
              </w:tc>
              <w:tc>
                <w:tcPr>
                  <w:tcBorders/>
                  <w:textDirection w:val="lrTb"/>
                  <w:noWrap w:val="false"/>
                </w:tcPr>
                <w:p>
                  <w:pPr>
                    <w:pStyle w:val="806"/>
                    <w:pBdr/>
                    <w:spacing/>
                    <w:ind/>
                    <w:jc w:val="center"/>
                    <w:rPr/>
                  </w:pPr>
                  <w:r>
                    <w:t xml:space="preserve">0.60</w:t>
                  </w:r>
                  <w:bookmarkEnd w:id="90"/>
                  <w:r/>
                </w:p>
              </w:tc>
            </w:tr>
          </w:tbl>
          <w:p>
            <w:pPr>
              <w:pBdr/>
              <w:spacing/>
              <w:ind/>
              <w:rPr/>
            </w:pPr>
            <w:r/>
            <w:bookmarkEnd w:id="91"/>
            <w:bookmarkEnd w:id="92"/>
            <w:r/>
          </w:p>
        </w:tc>
      </w:tr>
    </w:tbl>
    <w:p>
      <w:pPr>
        <w:pStyle w:val="707"/>
        <w:pBdr/>
        <w:spacing/>
        <w:ind/>
        <w:rPr/>
      </w:pPr>
      <w:r/>
      <w:bookmarkStart w:id="97" w:name="discussion"/>
      <w:r>
        <w:t xml:space="preserve">7. Discussion</w:t>
      </w:r>
      <w:r/>
    </w:p>
    <w:p>
      <w:pPr>
        <w:pStyle w:val="708"/>
        <w:pBdr/>
        <w:spacing/>
        <w:ind/>
        <w:rPr/>
      </w:pPr>
      <w:r/>
      <w:bookmarkStart w:id="93" w:name="processes-driving-canopy-snow-unloading"/>
      <w:r>
        <w:t xml:space="preserve">7.1 Processes Driving Canopy Snow Unloading</w:t>
      </w:r>
      <w:r/>
    </w:p>
    <w:p>
      <w:pPr>
        <w:pStyle w:val="805"/>
        <w:pBdr/>
        <w:spacing/>
        <w:ind/>
        <w:rPr/>
      </w:pPr>
      <w:r>
        <w:t xml:space="preserve">The measurements of canopy snow unloading (Table 1) provide support for the hypotheses that canopy snow</w:t>
      </w:r>
      <w:r>
        <w:t xml:space="preserve">melt and wind-driven unloading—which are both also moderated by canopy load—are the primary processes driving canopy snow unloading. The ratio of unloading to canopy snowmelt was found to increase with increasing canopy snow load (Fig. 6), and differs from</w:t>
      </w:r>
      <w:r>
        <w:t xml:space="preserve"> </w:t>
      </w:r>
      <w:r>
        <w:t xml:space="preserve">Storck et al. (2002)</w:t>
      </w:r>
      <w:r>
        <w:t xml:space="preserve"> </w:t>
      </w:r>
      <w:r>
        <w:t xml:space="preserve">who originally found the ratio of canopy snow unloading to melt to be constant at 0.4. The measurement difficulties noted by</w:t>
      </w:r>
      <w:r>
        <w:t xml:space="preserve"> </w:t>
      </w:r>
      <w:r>
        <w:t xml:space="preserve">Storck et al. (2002)</w:t>
      </w:r>
      <w:r>
        <w:t xml:space="preserve"> </w:t>
      </w:r>
      <w:r>
        <w:t xml:space="preserve">limited their estimate of this ratio to a single mid-December event and thus did not observe any association with canopy sn</w:t>
      </w:r>
      <w:r>
        <w:t xml:space="preserve">ow load. Similar instrument difficulties limited our tipping bucket measurements of subcanopy snowmelt drainage to three events, but still showed an increasing trend in the unloading to melt ratio with snow load also confirming this hypothesis. Research by</w:t>
      </w:r>
      <w:r>
        <w:t xml:space="preserve"> </w:t>
      </w:r>
      <w:r>
        <w:t xml:space="preserve">Roesch et al. (2001)</w:t>
      </w:r>
      <w:r>
        <w:t xml:space="preserve"> </w:t>
      </w:r>
      <w:r>
        <w:t xml:space="preserve">and</w:t>
      </w:r>
      <w:r>
        <w:t xml:space="preserve"> </w:t>
      </w:r>
      <w:r>
        <w:t xml:space="preserve">Katsushima et al. (2023)</w:t>
      </w:r>
      <w:r>
        <w:t xml:space="preserve"> </w:t>
      </w:r>
      <w:r>
        <w:t xml:space="preserve">also found a relationship between unloading resulting from the melt process, but was represented by empirical functions of air temperature and solar radiation</w:t>
      </w:r>
      <w:r>
        <w:t xml:space="preserve"> </w:t>
      </w:r>
      <w:r>
        <w:t xml:space="preserve">(Katsushima et al., 2023; Roesch et al., 2001)</w:t>
      </w:r>
      <w:r>
        <w:t xml:space="preserve">. Although branch bending has been shown to be associated with air temperature</w:t>
      </w:r>
      <w:r>
        <w:t xml:space="preserve"> </w:t>
      </w:r>
      <w:r>
        <w:t xml:space="preserve">(Schmidt &amp; Gluns, 1991; Schmidt &amp; Pomeroy, 1990)</w:t>
      </w:r>
      <w:r>
        <w:t xml:space="preserve">, the increase in unloading with air temperature was mainly found to occurring around the melting point (Fig. 4) and thus in our observations did not need to be represented separately from unloading associated with canopy snowmelt. The maximum </w:t>
      </w:r>
      <w:r>
        <w:t xml:space="preserve">canopy snow load incorporated by the E10 model is also clearly seen to be too low, causing large deviations from the observed canopy snow load (Fig. 8). The improved representation of the melt events is also attributed to a new canopy snow energy balance d</w:t>
      </w:r>
      <w:r>
        <w:t xml:space="preserve">escribed in Equation 3. This allows the rate of canopy snowmelt to better reflect the available energy and also Equation 13 helps represent the associated increase in canopy snow unloading with snowmelt (Fig. 8) compared to more empirically based functions</w:t>
      </w:r>
      <w:r>
        <w:t xml:space="preserve"> </w:t>
      </w:r>
      <w:r>
        <w:t xml:space="preserve">(Katsushima et al., 2023; Roesch et al., 2001)</w:t>
      </w:r>
      <w:r>
        <w:t xml:space="preserve">.</w:t>
      </w:r>
      <w:r/>
    </w:p>
    <w:p>
      <w:pPr>
        <w:pStyle w:val="783"/>
        <w:pBdr/>
        <w:spacing/>
        <w:ind/>
        <w:rPr/>
      </w:pPr>
      <w:r>
        <w:t xml:space="preserve">Wind driven unloading was found to increase exponentially with wind speed and increase linearly with shear stress (Table 2). This differs from previous studies who typically represent this process as a linear function of wind speed and canopy load</w:t>
      </w:r>
      <w:r>
        <w:t xml:space="preserve"> </w:t>
      </w:r>
      <w:r>
        <w:t xml:space="preserve">(Bartlett &amp; Verseghy, 2015; Katsushima et al., 2023; Roesch et al., 2001)</w:t>
      </w:r>
      <w:r>
        <w:t xml:space="preserve"> </w:t>
      </w:r>
      <w:r>
        <w:t xml:space="preserve">as shown in Fig. 2. The higher</w:t>
      </w:r>
      <w:r>
        <w:t xml:space="preserve"> </w:t>
      </w:r>
      <w:r>
        <w:rPr>
          <w:i/>
          <w:iCs/>
        </w:rPr>
        <w:t xml:space="preserve">R</w:t>
      </w:r>
      <w:r>
        <w:rPr>
          <w:i/>
          <w:iCs/>
          <w:vertAlign w:val="superscript"/>
        </w:rPr>
        <w:t xml:space="preserve">2</w:t>
      </w:r>
      <w:r>
        <w:t xml:space="preserve"> </w:t>
      </w:r>
      <w:r>
        <w:t xml:space="preserve">found for shear stress compared to wind speed for predicting unloading—when excluding melt events (Table 2)—is due to the better relation of shear stress with the kinetic energy transfer from wind to snow, wind transport, and movement of the canopy</w:t>
      </w:r>
      <w:r>
        <w:t xml:space="preserve">. Still, the wind-driven unloading process resulted in the highest overall mean biases compared to the melt and sublimation dominated events (Fig. 9). Additional factors that may influence wind-driven unloading that are not considered in the new parameteri</w:t>
      </w:r>
      <w:r>
        <w:t xml:space="preserve">sation (Equation 12) include differences in snow density, and increased liquid water content at warmer temperatures increasing cohesion and adhesion to the canopy which may provide some resistance to wind induced unloading. However, a statistically signifi</w:t>
      </w:r>
      <w:r>
        <w:t xml:space="preserve">cant negative influence of air temperature on wind speed was not found, likely due to the strong positive association of air temperature and melt on unloading. Equation 12 also does not directly include wind transport or erosion of snow into the atmosphere</w:t>
      </w:r>
      <w:r/>
    </w:p>
    <w:p>
      <w:pPr>
        <w:pStyle w:val="783"/>
        <w:pBdr/>
        <w:spacing/>
        <w:ind/>
        <w:rPr/>
      </w:pPr>
      <w:r>
        <w:t xml:space="preserve">The den</w:t>
      </w:r>
      <w:r>
        <w:t xml:space="preserve">sity of snow intercepted in the canopy is expected to influence both wind-driven and melt-induced unloading processes, yet this factor is not explicitly represented in current models. Fresh, low-density snow typically exhibits lower cohesion and adhesion c</w:t>
      </w:r>
      <w:r>
        <w:t xml:space="preserve">ompared to older snow, which may have undergone freeze-thaw cycles or equitemperature metamorphaisism—processes that increase snow density and mechanical resistance to unloading. While vapour deposition and rime-ice accumulation is simulated in some models</w:t>
      </w:r>
      <w:r>
        <w:t xml:space="preserve"> </w:t>
      </w:r>
      <w:r>
        <w:t xml:space="preserve">(e.g., Clark et al., 2015; Ellis et al., 2010)</w:t>
      </w:r>
      <w:r>
        <w:t xml:space="preserve"> </w:t>
      </w:r>
      <w:r>
        <w:t xml:space="preserve">via the latent head flux parameterisation, it is usually treated as additions to the canopy snow reservoir. However, in humid or maritime regions rime can form dense, ice-like structures</w:t>
      </w:r>
      <w:r>
        <w:t xml:space="preserve"> </w:t>
      </w:r>
      <w:r>
        <w:t xml:space="preserve">(e.g., Berndt &amp; Fowler, 1969)</w:t>
      </w:r>
      <w:r>
        <w:t xml:space="preserve"> </w:t>
      </w:r>
      <w:r>
        <w:t xml:space="preserve">with high resistance to unloading by either melt or wind</w:t>
      </w:r>
      <w:r>
        <w:t xml:space="preserve"> </w:t>
      </w:r>
      <w:r>
        <w:t xml:space="preserve">(Lumbrazo et al., 2022)</w:t>
      </w:r>
      <w:r>
        <w:t xml:space="preserve">. Although canopy snow density is expected to influence the ablation processes high enough canopy snow densities to influence the ablation process were not observed in this study, yet it remains a key research gap for some regions.</w:t>
      </w:r>
      <w:r/>
    </w:p>
    <w:p>
      <w:pPr>
        <w:pStyle w:val="783"/>
        <w:pBdr/>
        <w:spacing/>
        <w:ind/>
        <w:rPr/>
      </w:pPr>
      <w:r>
        <w:t xml:space="preserve">Some evidence of increased unloading associated with sublimation was observed (Fig. 4), consistent with some previous findings (</w:t>
      </w:r>
      <w:r>
        <w:t xml:space="preserve">MacDonald (2010)</w:t>
      </w:r>
      <w:r>
        <w:t xml:space="preserve">) theorized to be due to the reduction in structural integrity and bond weakening of the canopy snow clumps as snow particles are removed through sublimation. However, the relationship in Fig. 4 was weak and statistically insignific</w:t>
      </w:r>
      <w:r>
        <w:t xml:space="preserve">ant and limited to relatively low sublimation rates. It is possible that this apparent associated arises from the concurrent increase in canopy energy inputs that promote both sublimation and other unloading mechanisms such as melt and wind-driven removal.</w:t>
      </w:r>
      <w:bookmarkEnd w:id="93"/>
      <w:r/>
    </w:p>
    <w:p>
      <w:pPr>
        <w:pStyle w:val="708"/>
        <w:pBdr/>
        <w:spacing/>
        <w:ind/>
        <w:rPr/>
      </w:pPr>
      <w:r/>
      <w:bookmarkStart w:id="94" w:name="X90a35008877e9b937ba4174ac9d36055aa5bc84"/>
      <w:r>
        <w:t xml:space="preserve">7.2 Performance Comparison of Unloading Parameterisations</w:t>
      </w:r>
      <w:r/>
    </w:p>
    <w:p>
      <w:pPr>
        <w:pStyle w:val="805"/>
        <w:pBdr/>
        <w:spacing/>
        <w:ind/>
        <w:rPr/>
      </w:pPr>
      <w:r>
        <w:t xml:space="preserve">The improved pe</w:t>
      </w:r>
      <w:r>
        <w:t xml:space="preserve">rformance of the new CP25 model across a range of meteorological conditions—including warm and humid, cold and dry, windy, and mixed events—demonstrates the robustness of physically based representations of the energy balance and snow unloading processes (</w:t>
      </w:r>
      <w:r>
        <w:rPr>
          <w:lang w:val="en-US"/>
        </w:rPr>
        <w:t xml:space="preserve">Fig. 8</w:t>
      </w:r>
      <w:r>
        <w:t xml:space="preserve">). In contrast, previously developed models had missing processes such as wind-driven unloading (SA09 and E10) or had t</w:t>
      </w:r>
      <w:r>
        <w:t xml:space="preserve">emperature based representations of melt and drip processes (R01 and E10) which limited their applicability across varying environmental conditions. While the SA09 model—originally developed in a relatively warm maritime climate with limited wind influence</w:t>
      </w:r>
      <w:r>
        <w:t xml:space="preserve"> </w:t>
      </w:r>
      <w:r>
        <w:t xml:space="preserve">(Storck et al., 2002)</w:t>
      </w:r>
      <w:r>
        <w:t xml:space="preserve">—performed comparably to CP25 during melt-dominated events, its lack of wind-induced unloading led to poor performance for wind- and sublimation-dominated events. This process omission caused SA09 to overestimate sublimation when averaged ov</w:t>
      </w:r>
      <w:r>
        <w:t xml:space="preserve">er all events, returning a much greater fraction of intercepted snow back to the atmosphere (Table 4). Moreover, the constant canopy snow unloading to melt ratio of 0.4 in the SA09 model led to reduced performance for one melt event with canopy snow loads </w:t>
      </w:r>
      <w:r>
        <w:t xml:space="preserve">up to 30 mm, where the CP25 model better predicted an increase in the canopy snow unloading to melt ratio. A lower liquid water holding capacity for the SA09 model led to a slight under estimation in canopy load for the tail end of most of the melt events.</w:t>
      </w:r>
      <w:r/>
    </w:p>
    <w:p>
      <w:pPr>
        <w:pStyle w:val="783"/>
        <w:pBdr/>
        <w:spacing/>
        <w:ind/>
        <w:rPr/>
      </w:pPr>
      <w:r>
        <w:t xml:space="preserve">The temperature-based (E10 and R01) models showed inconsistent performance, particularly during melt events, where they generally underestimated ablation due to their reliance on air temperature or ice-bul</w:t>
      </w:r>
      <w:r>
        <w:t xml:space="preserve">b temperature as proxies for energy input into the canopy. Although E10 lacked a representation of wind-driven unloading, its exponential decay parameterisation partially compensated for this process, but still underestimated overall ablation for the wind-</w:t>
      </w:r>
      <w:r>
        <w:t xml:space="preserve">dominated events (Fig. 8). Conversely, R01 systematically overestimated wind-driven unloading, resulting in an overestimate of total ablation during both wind- and sublimation-dominated events (Fig. 8). The over estimation of wind-driven unloading from the</w:t>
      </w:r>
      <w:r>
        <w:t xml:space="preserve"> </w:t>
      </w:r>
      <w:r>
        <w:t xml:space="preserve">Roesch et al. (2001)</w:t>
      </w:r>
      <w:r>
        <w:t xml:space="preserve"> </w:t>
      </w:r>
      <w:r>
        <w:t xml:space="preserve">based model compared to the wind-driven unloading function developed in this study may be attributed to the use of abov</w:t>
      </w:r>
      <w:r>
        <w:t xml:space="preserve">e canopy albedo as a proxy of canopy snow unloading, while the subcanopy lysimeter based measurements used in this study observed a more direct measurement of the canopy snow unloading rate. However, the wind unloading coefficients are likely site specific</w:t>
      </w:r>
      <w:r>
        <w:t xml:space="preserve"> </w:t>
      </w:r>
      <w:r>
        <w:t xml:space="preserve">(Lumbrazo et al., 2022)</w:t>
      </w:r>
      <w:r>
        <w:t xml:space="preserve"> </w:t>
      </w:r>
      <w:r>
        <w:t xml:space="preserve">and related to forest structure and snow conditions which will require additional field-based investigations on canopy snow unloading to test their transferabil</w:t>
      </w:r>
      <w:r>
        <w:t xml:space="preserve">ity. By explicitly representing canopy snow melt and sublimation as well as wind-driven and melt-induced unloading, CP25 achieved more consistent performance across a diverse range in canopy snow ablation events reducing event-to-event variability in bias.</w:t>
      </w:r>
      <w:r/>
    </w:p>
    <w:p>
      <w:pPr>
        <w:pStyle w:val="783"/>
        <w:pBdr/>
        <w:spacing/>
        <w:ind/>
        <w:rPr/>
      </w:pPr>
      <w:r>
        <w:t xml:space="preserve">The lack of wind-transport in the CP25 model explains the underestimation of wind-driven ablation for one of the wind-dominated ablation events (2023-02-24, Fig. 8). The wind transport of canopy snow </w:t>
      </w:r>
      <w:r>
        <w:t xml:space="preserve">to nearby sites over this event was observed to be relatively small at 1.3 mm of a total of 20 mm of canopy snow that ablated over the event. The amount of snow unloaded into the subcanopy lysimeters was found to agree with the CP25 model over this event (</w:t>
      </w:r>
      <w:r>
        <w:rPr>
          <w:lang w:val="en-US"/>
        </w:rPr>
        <w:t xml:space="preserve">see supporting information</w:t>
      </w:r>
      <w:r>
        <w:t xml:space="preserve">) and therefore the ~9 mm of canopy snow ablation not accounted for by CP25 </w:t>
      </w:r>
      <w:r>
        <w:t xml:space="preserve">over this event is interpreted to be due to both uncertainties in the wind-driven unloading model (Fig. 5) and some entrainment of canopy snow into the atmosphere which was either transported to far away sites and/or sublimated. This is similar to findings</w:t>
      </w:r>
      <w:r>
        <w:t xml:space="preserve"> </w:t>
      </w:r>
      <w:r>
        <w:t xml:space="preserve">Troendle (1983)</w:t>
      </w:r>
      <w:r>
        <w:t xml:space="preserve"> </w:t>
      </w:r>
      <w:r>
        <w:t xml:space="preserve">but disagrees with</w:t>
      </w:r>
      <w:r>
        <w:t xml:space="preserve"> </w:t>
      </w:r>
      <w:r>
        <w:t xml:space="preserve">Hoover &amp; Leaf (1967)</w:t>
      </w:r>
      <w:r>
        <w:t xml:space="preserve"> </w:t>
      </w:r>
      <w:r>
        <w:t xml:space="preserve">who suggested the majority of wind transported snow is transported to adjacent sites with minimal influence of sublimation.</w:t>
      </w:r>
      <w:bookmarkEnd w:id="94"/>
      <w:r/>
    </w:p>
    <w:p>
      <w:pPr>
        <w:pStyle w:val="708"/>
        <w:pBdr/>
        <w:spacing/>
        <w:ind/>
        <w:rPr/>
      </w:pPr>
      <w:r/>
      <w:bookmarkStart w:id="95" w:name="canopy-snow-partitioning-1"/>
      <w:r>
        <w:t xml:space="preserve">7.3 Canopy Snow Partitioning</w:t>
      </w:r>
      <w:r/>
    </w:p>
    <w:p>
      <w:pPr>
        <w:pStyle w:val="805"/>
        <w:pBdr/>
        <w:spacing/>
        <w:ind/>
        <w:rPr/>
      </w:pPr>
      <w:r>
        <w:t xml:space="preserve">W</w:t>
      </w:r>
      <w:r>
        <w:t xml:space="preserve">hile the CP25 model shows improved accuracy across the melt-, sublimation-, and wind-dominated events there is still some uncertainty in the magnitude of snow that reaches the ground versus the atmosphere. For the melt events while the total ablation is cl</w:t>
      </w:r>
      <w:r>
        <w:t xml:space="preserve">osely matched for CP25, the amount of canopy snow meltwater that was evaporated was not measured in this study. The comparison of CP25 to the amount of canopy snow meltwater drainage into the tipping buckets (Fig. 7 width) provides the best validation of t</w:t>
      </w:r>
      <w:r>
        <w:t xml:space="preserve">his partitioning and suggests there may be a slight over estimating in the amount of liquid water reaching the ground and thus an underestimating in canopy snow meltwater evaporation. This evidence is corroborated by the over estimation of total ablation a</w:t>
      </w:r>
      <w:r>
        <w:t xml:space="preserve">t the tail end of the melt events for CP25 and suggests the canopy may be able to hold more liquid melt water and thus subject it to evaporation. Therefore, the liquid water holding capacity of the canopy remains uncertain, directly influencing how much in</w:t>
      </w:r>
      <w:r>
        <w:t xml:space="preserve">tercepted meltwater is subject to evporation. Although the total interception loss from evaporation during the melt events was predicted to be minimal (Fig. 10); the weak performance of all models at the end of the melt events highlights the need for furth</w:t>
      </w:r>
      <w:r>
        <w:t xml:space="preserve">er research in this area. Similarly, while accurate performance of CP25 was achieved for sublimation events with low wind speed—and thus little wind-driven unloading—events with higher winds had uncertainty in the amount of snow unloaded versus sublimated.</w:t>
      </w:r>
      <w:r/>
    </w:p>
    <w:p>
      <w:pPr>
        <w:pStyle w:val="783"/>
        <w:pBdr/>
        <w:spacing/>
        <w:ind/>
        <w:rPr/>
      </w:pPr>
      <w:r>
        <w:t xml:space="preserve">There is large variability in the amount of snow partitioned to the at</w:t>
      </w:r>
      <w:r>
        <w:t xml:space="preserve">mosphere and to the ground depending on the canopy snow ablation routine that is selected (Fig. 10). For example, by not including wind-driven unloading as in the SA09 model, 10% less snow reached the ground over all 17 of the selected events (only 3 were </w:t>
      </w:r>
      <w:r>
        <w:t xml:space="preserve">considered wind-dominated) due to the longer duration snow was intercepted in the canopy compared to the CP25 and E10 models. Although E10 and CP25 include differing process representations a similar fraction of snow was simulated to reach the ground vs re</w:t>
      </w:r>
      <w:r>
        <w:t xml:space="preserve">turned to the atmosphere. The agreement between CP25 and E10 is encouraging, since the E10 has been tested on subcanopy snow accumulation to perform well across the globe, but may have been getting the right answer for the wrong reasons due to the large de</w:t>
      </w:r>
      <w:r>
        <w:t xml:space="preserve">viation in process representation between CP25 and E10. For regions which intercept a larger amount of snow, where the E10 maximum canopy snow load would over estimate the amount of unloading, a greater deviation between the E10 and CP25 model is expected.</w:t>
      </w:r>
      <w:bookmarkEnd w:id="95"/>
      <w:r/>
    </w:p>
    <w:p>
      <w:pPr>
        <w:pStyle w:val="708"/>
        <w:pBdr/>
        <w:spacing/>
        <w:ind/>
        <w:rPr/>
      </w:pPr>
      <w:r/>
      <w:bookmarkStart w:id="96" w:name="future-directions"/>
      <w:r>
        <w:t xml:space="preserve">7.4 Future Directions</w:t>
      </w:r>
      <w:r/>
    </w:p>
    <w:p>
      <w:pPr>
        <w:pStyle w:val="805"/>
        <w:pBdr/>
        <w:spacing/>
        <w:ind/>
        <w:rPr/>
      </w:pPr>
      <w:r>
        <w:t xml:space="preserve">Physically based approaches such as CP25 are particularly relevant under climat</w:t>
      </w:r>
      <w:r>
        <w:t xml:space="preserve">e change, where warming may reduce the reliability of temperature-dependent models like E10 and R01 as shown in Fig. 9. The improved representation of melt events by CP25 and SA09 supports the use of energy balance methods across a range of meteorological </w:t>
      </w:r>
      <w:r>
        <w:t xml:space="preserve">conditions, compared to temperature based routines (E10 and R01) which had reduced performance over these events. Among all canopy snow ablation processes, wind-driven unloading and introduced the most uncertainty. Although the revised model performed best</w:t>
      </w:r>
      <w:r>
        <w:t xml:space="preserve"> at this site, further validation is required across a range of climates and forest structures. Since wind-driven unloading and sublimation are competitive processes, both strongly influence whether snow is returned to the atmosphere or reaches the ground.</w:t>
      </w:r>
      <w:r/>
    </w:p>
    <w:p>
      <w:pPr>
        <w:pStyle w:val="783"/>
        <w:pBdr/>
        <w:spacing/>
        <w:ind/>
        <w:rPr/>
      </w:pPr>
      <w:r>
        <w:t xml:space="preserve">Key limitations remain in measuring canopy snow sublimation</w:t>
      </w:r>
      <w:r>
        <w:t xml:space="preserve"> </w:t>
      </w:r>
      <w:r>
        <w:t xml:space="preserve">(Conway et al., 2018; Harvey et al., 2025; Helgason &amp; Pomeroy, 2012b)</w:t>
      </w:r>
      <w:r>
        <w:t xml:space="preserve"> </w:t>
      </w:r>
      <w:r>
        <w:t xml:space="preserve">and separating snow unloading from meltwater runoff</w:t>
      </w:r>
      <w:r>
        <w:t xml:space="preserve"> </w:t>
      </w:r>
      <w:r>
        <w:t xml:space="preserve">(Floyd, 2012; Storck et al., 2002)</w:t>
      </w:r>
      <w:r>
        <w:t xml:space="preserve">, which are inhibiting the development and validation of parameterisations. While separating the initial interception and ablation processes—as proposed in recent work</w:t>
      </w:r>
      <w:r>
        <w:t xml:space="preserve"> </w:t>
      </w:r>
      <w:r>
        <w:t xml:space="preserve">(Cebulski &amp; Pomeroy, 2025b; Cebulski &amp; Pomeroy, 2025a)</w:t>
      </w:r>
      <w:r>
        <w:t xml:space="preserve">—will improve process representation, these routines still need to be evaluated together. Incorporating the updated unloading schemes developed here could improve the representation of canopy snow ablation and, by ex</w:t>
      </w:r>
      <w:r>
        <w:t xml:space="preserve">tension, the partitioning of precipitation and canopy albedo in hydrological and land surface models. Nonetheless, further testing is needed across different sites, climates, forest types, and spatial scales to assess model transferability and performance.</w:t>
      </w:r>
      <w:bookmarkEnd w:id="96"/>
      <w:bookmarkEnd w:id="97"/>
      <w:r/>
    </w:p>
    <w:p>
      <w:pPr>
        <w:pStyle w:val="707"/>
        <w:pBdr/>
        <w:spacing/>
        <w:ind/>
        <w:rPr/>
      </w:pPr>
      <w:r/>
      <w:bookmarkStart w:id="98" w:name="conclusions"/>
      <w:r>
        <w:t xml:space="preserve">8. Conclusions</w:t>
      </w:r>
      <w:r/>
    </w:p>
    <w:p>
      <w:pPr>
        <w:pStyle w:val="806"/>
        <w:numPr>
          <w:ilvl w:val="0"/>
          <w:numId w:val="17"/>
        </w:numPr>
        <w:pBdr/>
        <w:spacing/>
        <w:ind/>
        <w:rPr/>
      </w:pPr>
      <w:r>
        <w:t xml:space="preserve">Canopy snow load, wind speed, and melt rate were statistically significant predictors of snow unloading, collectively explaining 80% of its variability.</w:t>
      </w:r>
      <w:r/>
    </w:p>
    <w:p>
      <w:pPr>
        <w:pStyle w:val="806"/>
        <w:numPr>
          <w:ilvl w:val="0"/>
          <w:numId w:val="17"/>
        </w:numPr>
        <w:pBdr/>
        <w:spacing/>
        <w:ind/>
        <w:rPr/>
      </w:pPr>
      <w:r>
        <w:t xml:space="preserve">New parameterisations for wind-driven and melt-induced unloading are introduced, with key differences from previously established approaches.</w:t>
      </w:r>
      <w:r/>
    </w:p>
    <w:p>
      <w:pPr>
        <w:pStyle w:val="806"/>
        <w:numPr>
          <w:ilvl w:val="0"/>
          <w:numId w:val="17"/>
        </w:numPr>
        <w:pBdr/>
        <w:spacing/>
        <w:ind/>
        <w:rPr/>
      </w:pPr>
      <w:r>
        <w:t xml:space="preserve">Shear stress, was found to be a stronger predictor of canopy snow unload (</w:t>
      </w:r>
      <w:r>
        <w:rPr>
          <w:i/>
          <w:iCs/>
        </w:rPr>
        <w:t xml:space="preserve">R</w:t>
      </w:r>
      <w:r>
        <w:rPr>
          <w:i/>
          <w:iCs/>
          <w:vertAlign w:val="superscript"/>
        </w:rPr>
        <w:t xml:space="preserve">2</w:t>
      </w:r>
      <w:r>
        <w:t xml:space="preserve"> </w:t>
      </w:r>
      <w:r>
        <w:t xml:space="preserve">= 0.66) compared to wind speed (</w:t>
      </w:r>
      <w:r>
        <w:rPr>
          <w:i/>
          <w:iCs/>
        </w:rPr>
        <w:t xml:space="preserve">R</w:t>
      </w:r>
      <w:r>
        <w:rPr>
          <w:i/>
          <w:iCs/>
          <w:vertAlign w:val="superscript"/>
        </w:rPr>
        <w:t xml:space="preserve">2</w:t>
      </w:r>
      <w:r>
        <w:t xml:space="preserve"> </w:t>
      </w:r>
      <w:r>
        <w:t xml:space="preserve">= 0.52) for non-melt periods.</w:t>
      </w:r>
      <w:r/>
    </w:p>
    <w:p>
      <w:pPr>
        <w:pStyle w:val="806"/>
        <w:numPr>
          <w:ilvl w:val="0"/>
          <w:numId w:val="17"/>
        </w:numPr>
        <w:pBdr/>
        <w:spacing/>
        <w:ind/>
        <w:rPr/>
      </w:pPr>
      <w:r>
        <w:t xml:space="preserve">Snow unloading during melt events was linked to the canopy melt rate, and while consistent with existing ratio-based approaches, a new observation was that this ratio increased with greater canopy snow load.</w:t>
      </w:r>
      <w:r/>
    </w:p>
    <w:p>
      <w:pPr>
        <w:pStyle w:val="806"/>
        <w:numPr>
          <w:ilvl w:val="0"/>
          <w:numId w:val="17"/>
        </w:numPr>
        <w:pBdr/>
        <w:spacing/>
        <w:ind/>
        <w:rPr/>
      </w:pPr>
      <w:r>
        <w:t xml:space="preserve">Observed drip from canopy snowmelt during three warm events generally matched simulated meltwater drainage, though some measurement uncertainty remains.</w:t>
      </w:r>
      <w:r/>
    </w:p>
    <w:p>
      <w:pPr>
        <w:pStyle w:val="806"/>
        <w:numPr>
          <w:ilvl w:val="0"/>
          <w:numId w:val="17"/>
        </w:numPr>
        <w:pBdr/>
        <w:spacing/>
        <w:ind/>
        <w:rPr/>
      </w:pPr>
      <w:r>
        <w:t xml:space="preserve">The updated canopy snow ablation </w:t>
      </w:r>
      <w:r>
        <w:t xml:space="preserve">scheme—combining wind- and melt-induced unloading with an energy balance-based melt and sublimation routine—produced the most consistent results across varied meteorological conditions. However, wind-dominated events still showed the largest uncertainties.</w:t>
      </w:r>
      <w:r/>
    </w:p>
    <w:p>
      <w:pPr>
        <w:pStyle w:val="806"/>
        <w:numPr>
          <w:ilvl w:val="0"/>
          <w:numId w:val="17"/>
        </w:numPr>
        <w:pBdr/>
        <w:spacing/>
        <w:ind/>
        <w:rPr/>
      </w:pPr>
      <w:r>
        <w:t xml:space="preserve">Partitioning of snowfall between ground and atmosphere varied most among parameterisations for wind- and sublimation-dominated events, while melt-driven events showed greater consistency across models.</w:t>
      </w:r>
      <w:r/>
    </w:p>
    <w:p>
      <w:pPr>
        <w:pBdr/>
        <w:spacing/>
        <w:ind/>
        <w:rPr/>
      </w:pPr>
      <w:r>
        <w:br w:type="page" w:clear="all"/>
      </w:r>
      <w:bookmarkEnd w:id="98"/>
      <w:r/>
    </w:p>
    <w:p>
      <w:pPr>
        <w:pStyle w:val="707"/>
        <w:pBdr/>
        <w:spacing/>
        <w:ind/>
        <w:rPr/>
      </w:pPr>
      <w:r/>
      <w:bookmarkStart w:id="188" w:name="references"/>
      <w:r>
        <w:t xml:space="preserve">9. References</w:t>
      </w:r>
      <w:r/>
    </w:p>
    <w:p>
      <w:pPr>
        <w:pStyle w:val="813"/>
        <w:pBdr/>
        <w:spacing/>
        <w:ind/>
        <w:rPr/>
      </w:pPr>
      <w:r/>
      <w:bookmarkStart w:id="187" w:name="refs"/>
      <w:r/>
      <w:bookmarkStart w:id="99" w:name="ref-Allan1998"/>
      <w:r>
        <w:t xml:space="preserve">Allan, R., Pereira, L., Raes, D., &amp; Smith, M. (1998).</w:t>
      </w:r>
      <w:r>
        <w:t xml:space="preserve"> </w:t>
      </w:r>
      <w:r>
        <w:rPr>
          <w:i/>
          <w:iCs/>
        </w:rPr>
        <w:t xml:space="preserve">Crop evapotranspiration</w:t>
      </w:r>
      <w:r>
        <w:rPr>
          <w:i/>
          <w:iCs/>
        </w:rPr>
        <w:t xml:space="preserve"> </w:t>
      </w:r>
      <w:r>
        <w:rPr>
          <w:i/>
          <w:iCs/>
        </w:rPr>
        <w:t xml:space="preserve">Guidelines</w:t>
      </w:r>
      <w:r>
        <w:rPr>
          <w:i/>
          <w:iCs/>
        </w:rPr>
        <w:t xml:space="preserve"> </w:t>
      </w:r>
      <w:r>
        <w:rPr>
          <w:i/>
          <w:iCs/>
        </w:rPr>
        <w:t xml:space="preserve">for computing crop water requirements</w:t>
      </w:r>
      <w:r>
        <w:t xml:space="preserve">.</w:t>
      </w:r>
      <w:r>
        <w:t xml:space="preserve"> </w:t>
      </w:r>
      <w:r>
        <w:t xml:space="preserve">Food and Agriculture Organization of the United Nations</w:t>
      </w:r>
      <w:r>
        <w:t xml:space="preserve">.</w:t>
      </w:r>
      <w:bookmarkEnd w:id="99"/>
      <w:r/>
    </w:p>
    <w:p>
      <w:pPr>
        <w:pStyle w:val="813"/>
        <w:pBdr/>
        <w:spacing/>
        <w:ind/>
        <w:rPr/>
      </w:pPr>
      <w:r/>
      <w:bookmarkStart w:id="101" w:name="ref-Andreadis2009"/>
      <w:r>
        <w:t xml:space="preserve">Andreadis, K. M., Storck, P., &amp; Lettenmaier, D. P. (2009). Modeling snow accumulation and ablation processes in forested environments.</w:t>
      </w:r>
      <w:r>
        <w:t xml:space="preserve"> </w:t>
      </w:r>
      <w:r>
        <w:rPr>
          <w:i/>
          <w:iCs/>
        </w:rPr>
        <w:t xml:space="preserve">Water Resources Research</w:t>
      </w:r>
      <w:r>
        <w:t xml:space="preserve">,</w:t>
      </w:r>
      <w:r>
        <w:t xml:space="preserve"> </w:t>
      </w:r>
      <w:r>
        <w:rPr>
          <w:i/>
          <w:iCs/>
        </w:rPr>
        <w:t xml:space="preserve">45</w:t>
      </w:r>
      <w:r>
        <w:t xml:space="preserve">(5), 1–33.</w:t>
      </w:r>
      <w:r>
        <w:t xml:space="preserve"> </w:t>
      </w:r>
      <w:hyperlink r:id="rId19" w:tooltip="https://doi.org/10.1029/2008WR007042" w:history="1">
        <w:r>
          <w:rPr>
            <w:rStyle w:val="745"/>
          </w:rPr>
          <w:t xml:space="preserve">https://doi.org/10.1029/2008WR007042</w:t>
        </w:r>
      </w:hyperlink>
      <w:r/>
      <w:bookmarkEnd w:id="101"/>
      <w:r/>
    </w:p>
    <w:p>
      <w:pPr>
        <w:pStyle w:val="813"/>
        <w:pBdr/>
        <w:spacing/>
        <w:ind/>
        <w:rPr/>
      </w:pPr>
      <w:r/>
      <w:bookmarkStart w:id="103" w:name="ref-Aubry-Wake2023"/>
      <w:r>
        <w:t xml:space="preserve">Aubry-Wake, C., &amp; Pomeroy, J. W. (2023). Predicting hydrological change in an alpine glacierized basin and its sensitivity to landscape evolution and meteorological forcings.</w:t>
      </w:r>
      <w:r>
        <w:t xml:space="preserve"> </w:t>
      </w:r>
      <w:r>
        <w:rPr>
          <w:i/>
          <w:iCs/>
        </w:rPr>
        <w:t xml:space="preserve">Water Resources Research</w:t>
      </w:r>
      <w:r>
        <w:t xml:space="preserve">,</w:t>
      </w:r>
      <w:r>
        <w:t xml:space="preserve"> </w:t>
      </w:r>
      <w:r>
        <w:rPr>
          <w:i/>
          <w:iCs/>
        </w:rPr>
        <w:t xml:space="preserve">59</w:t>
      </w:r>
      <w:r>
        <w:t xml:space="preserve">(9).</w:t>
      </w:r>
      <w:r>
        <w:t xml:space="preserve"> </w:t>
      </w:r>
      <w:hyperlink r:id="rId20" w:tooltip="https://doi.org/10.1029/2022WR033363" w:history="1">
        <w:r>
          <w:rPr>
            <w:rStyle w:val="745"/>
          </w:rPr>
          <w:t xml:space="preserve">https://doi.org/10.1029/2022WR033363</w:t>
        </w:r>
      </w:hyperlink>
      <w:r/>
      <w:bookmarkEnd w:id="103"/>
      <w:r/>
    </w:p>
    <w:p>
      <w:pPr>
        <w:pStyle w:val="813"/>
        <w:pBdr/>
        <w:spacing/>
        <w:ind/>
        <w:rPr/>
      </w:pPr>
      <w:r/>
      <w:bookmarkStart w:id="105" w:name="ref-Bartlett2015"/>
      <w:r>
        <w:t xml:space="preserve">Bartlett, P. A., &amp; Verseghy, D. L. (2015). Modified treatment of intercepted snow improves the simulated forest albedo in the</w:t>
      </w:r>
      <w:r>
        <w:t xml:space="preserve"> </w:t>
      </w:r>
      <w:r>
        <w:t xml:space="preserve">Canadian Land Surface Scheme</w:t>
      </w:r>
      <w:r>
        <w:t xml:space="preserve">.</w:t>
      </w:r>
      <w:r>
        <w:t xml:space="preserve"> </w:t>
      </w:r>
      <w:r>
        <w:rPr>
          <w:i/>
          <w:iCs/>
        </w:rPr>
        <w:t xml:space="preserve">Hydrological Processes</w:t>
      </w:r>
      <w:r>
        <w:t xml:space="preserve">,</w:t>
      </w:r>
      <w:r>
        <w:t xml:space="preserve"> </w:t>
      </w:r>
      <w:r>
        <w:rPr>
          <w:i/>
          <w:iCs/>
        </w:rPr>
        <w:t xml:space="preserve">29</w:t>
      </w:r>
      <w:r>
        <w:t xml:space="preserve">(14), 3208–3226.</w:t>
      </w:r>
      <w:r>
        <w:t xml:space="preserve"> </w:t>
      </w:r>
      <w:hyperlink r:id="rId21" w:tooltip="https://doi.org/10.1002/HYP.10431" w:history="1">
        <w:r>
          <w:rPr>
            <w:rStyle w:val="745"/>
          </w:rPr>
          <w:t xml:space="preserve">https://doi.org/10.1002/HYP.10431</w:t>
        </w:r>
      </w:hyperlink>
      <w:r/>
      <w:bookmarkEnd w:id="105"/>
      <w:r/>
    </w:p>
    <w:p>
      <w:pPr>
        <w:pStyle w:val="813"/>
        <w:pBdr/>
        <w:spacing/>
        <w:ind/>
        <w:rPr/>
      </w:pPr>
      <w:r/>
      <w:bookmarkStart w:id="107" w:name="ref-Berndt1969"/>
      <w:r>
        <w:t xml:space="preserve">Berndt, H. W., &amp; Fowler, W. B. (1969). Rime and hoarfrost in upper-slope forests of eastern washington.</w:t>
      </w:r>
      <w:r>
        <w:t xml:space="preserve"> </w:t>
      </w:r>
      <w:r>
        <w:rPr>
          <w:i/>
          <w:iCs/>
        </w:rPr>
        <w:t xml:space="preserve">Journal of Forestry</w:t>
      </w:r>
      <w:r>
        <w:t xml:space="preserve">,</w:t>
      </w:r>
      <w:r>
        <w:t xml:space="preserve"> </w:t>
      </w:r>
      <w:r>
        <w:rPr>
          <w:i/>
          <w:iCs/>
        </w:rPr>
        <w:t xml:space="preserve">67</w:t>
      </w:r>
      <w:r>
        <w:t xml:space="preserve">(2), 92–95.</w:t>
      </w:r>
      <w:r>
        <w:t xml:space="preserve"> </w:t>
      </w:r>
      <w:hyperlink r:id="rId22" w:tooltip="https://doi.org/10.1093/jof/67.2.92" w:history="1">
        <w:r>
          <w:rPr>
            <w:rStyle w:val="745"/>
          </w:rPr>
          <w:t xml:space="preserve">https://doi.org/10.1093/jof/67.2.92</w:t>
        </w:r>
      </w:hyperlink>
      <w:r/>
      <w:bookmarkEnd w:id="107"/>
      <w:r/>
    </w:p>
    <w:p>
      <w:pPr>
        <w:pStyle w:val="813"/>
        <w:pBdr/>
        <w:spacing/>
        <w:ind/>
        <w:rPr/>
      </w:pPr>
      <w:r/>
      <w:bookmarkStart w:id="109" w:name="ref-Cebulski2025a"/>
      <w:r>
        <w:t xml:space="preserve">Cebulski, A. C., &amp; Pomeroy, J. W. (2025a). Snow</w:t>
      </w:r>
      <w:r>
        <w:t xml:space="preserve"> </w:t>
      </w:r>
      <w:r>
        <w:t xml:space="preserve">Interception Relationships With Meteorology</w:t>
      </w:r>
      <w:r>
        <w:t xml:space="preserve"> </w:t>
      </w:r>
      <w:r>
        <w:t xml:space="preserve">and</w:t>
      </w:r>
      <w:r>
        <w:t xml:space="preserve"> </w:t>
      </w:r>
      <w:r>
        <w:t xml:space="preserve">Canopy Density</w:t>
      </w:r>
      <w:r>
        <w:t xml:space="preserve">.</w:t>
      </w:r>
      <w:r>
        <w:t xml:space="preserve"> </w:t>
      </w:r>
      <w:r>
        <w:rPr>
          <w:i/>
          <w:iCs/>
        </w:rPr>
        <w:t xml:space="preserve">Hydrological Processes</w:t>
      </w:r>
      <w:r>
        <w:t xml:space="preserve">,</w:t>
      </w:r>
      <w:r>
        <w:t xml:space="preserve"> </w:t>
      </w:r>
      <w:r>
        <w:rPr>
          <w:i/>
          <w:iCs/>
        </w:rPr>
        <w:t xml:space="preserve">39</w:t>
      </w:r>
      <w:r>
        <w:t xml:space="preserve">(4), e70135.</w:t>
      </w:r>
      <w:r>
        <w:t xml:space="preserve"> </w:t>
      </w:r>
      <w:hyperlink r:id="rId23" w:tooltip="https://doi.org/10.1002/hyp.70135" w:history="1">
        <w:r>
          <w:rPr>
            <w:rStyle w:val="745"/>
          </w:rPr>
          <w:t xml:space="preserve">https://doi.org/10.1002/hyp.70135</w:t>
        </w:r>
      </w:hyperlink>
      <w:r/>
      <w:bookmarkEnd w:id="109"/>
      <w:r/>
    </w:p>
    <w:p>
      <w:pPr>
        <w:pStyle w:val="813"/>
        <w:pBdr/>
        <w:spacing/>
        <w:ind/>
        <w:rPr/>
      </w:pPr>
      <w:r/>
      <w:bookmarkStart w:id="111" w:name="ref-Cebulski2025"/>
      <w:r>
        <w:t xml:space="preserve">Cebulski, A. C., &amp; Pomeroy, J. W. (2025b). Theoretical</w:t>
      </w:r>
      <w:r>
        <w:t xml:space="preserve"> </w:t>
      </w:r>
      <w:r>
        <w:t xml:space="preserve">Underpinnings</w:t>
      </w:r>
      <w:r>
        <w:t xml:space="preserve"> </w:t>
      </w:r>
      <w:r>
        <w:t xml:space="preserve">of</w:t>
      </w:r>
      <w:r>
        <w:t xml:space="preserve"> </w:t>
      </w:r>
      <w:r>
        <w:t xml:space="preserve">Snow Interception</w:t>
      </w:r>
      <w:r>
        <w:t xml:space="preserve"> </w:t>
      </w:r>
      <w:r>
        <w:t xml:space="preserve">and</w:t>
      </w:r>
      <w:r>
        <w:t xml:space="preserve"> </w:t>
      </w:r>
      <w:r>
        <w:t xml:space="preserve">Canopy Snow Ablation Parameterisations</w:t>
      </w:r>
      <w:r>
        <w:t xml:space="preserve">.</w:t>
      </w:r>
      <w:r>
        <w:t xml:space="preserve"> </w:t>
      </w:r>
      <w:r>
        <w:rPr>
          <w:i/>
          <w:iCs/>
        </w:rPr>
        <w:t xml:space="preserve">WIREs Water</w:t>
      </w:r>
      <w:r>
        <w:t xml:space="preserve">,</w:t>
      </w:r>
      <w:r>
        <w:t xml:space="preserve"> </w:t>
      </w:r>
      <w:r>
        <w:rPr>
          <w:i/>
          <w:iCs/>
        </w:rPr>
        <w:t xml:space="preserve">12</w:t>
      </w:r>
      <w:r>
        <w:t xml:space="preserve">, e70010.</w:t>
      </w:r>
      <w:r>
        <w:t xml:space="preserve"> </w:t>
      </w:r>
      <w:hyperlink r:id="rId24" w:tooltip="https://doi.org/10.1002/wat2.70010" w:history="1">
        <w:r>
          <w:rPr>
            <w:rStyle w:val="745"/>
          </w:rPr>
          <w:t xml:space="preserve">https://doi.org/10.1002/wat2.70010</w:t>
        </w:r>
      </w:hyperlink>
      <w:r/>
      <w:bookmarkEnd w:id="111"/>
      <w:r/>
    </w:p>
    <w:p>
      <w:pPr>
        <w:pStyle w:val="813"/>
        <w:pBdr/>
        <w:spacing/>
        <w:ind/>
        <w:rPr/>
      </w:pPr>
      <w:r/>
      <w:bookmarkStart w:id="113" w:name="ref-Clark2015b"/>
      <w:r>
        <w:t xml:space="preserve">Clark, M. P., Nijssen, B., Lundquist,</w:t>
      </w:r>
      <w:r>
        <w:t xml:space="preserve"> J. D., Kavetski, D., Rupp, D. E., Woods, R. A., Freer, J. E., Gutmann, E. D., Wood, A. W., Gochis, D. J., Rasmussen, R. M., Tarboton, D. G., Mahat, V., Flerchinger, G. N., &amp; Marks, D. G. (2015). A unified approach for process-based hydrologic modeling: 2.</w:t>
      </w:r>
      <w:r>
        <w:t xml:space="preserve"> </w:t>
      </w:r>
      <w:r>
        <w:t xml:space="preserve">Model</w:t>
      </w:r>
      <w:r>
        <w:t xml:space="preserve"> </w:t>
      </w:r>
      <w:r>
        <w:t xml:space="preserve">implementation and case studies.</w:t>
      </w:r>
      <w:r>
        <w:t xml:space="preserve"> </w:t>
      </w:r>
      <w:r>
        <w:rPr>
          <w:i/>
          <w:iCs/>
        </w:rPr>
        <w:t xml:space="preserve">Water Resources Research</w:t>
      </w:r>
      <w:r>
        <w:t xml:space="preserve">,</w:t>
      </w:r>
      <w:r>
        <w:t xml:space="preserve"> </w:t>
      </w:r>
      <w:r>
        <w:rPr>
          <w:i/>
          <w:iCs/>
        </w:rPr>
        <w:t xml:space="preserve">51</w:t>
      </w:r>
      <w:r>
        <w:t xml:space="preserve">(4), 2515–2542.</w:t>
      </w:r>
      <w:r>
        <w:t xml:space="preserve"> </w:t>
      </w:r>
      <w:hyperlink r:id="rId25" w:tooltip="https://doi.org/10.1002/2015WR017200" w:history="1">
        <w:r>
          <w:rPr>
            <w:rStyle w:val="745"/>
          </w:rPr>
          <w:t xml:space="preserve">https://doi.org/10.1002/2015WR017200</w:t>
        </w:r>
      </w:hyperlink>
      <w:r/>
      <w:bookmarkEnd w:id="113"/>
      <w:r/>
    </w:p>
    <w:p>
      <w:pPr>
        <w:pStyle w:val="813"/>
        <w:pBdr/>
        <w:spacing/>
        <w:ind/>
        <w:rPr/>
      </w:pPr>
      <w:r/>
      <w:bookmarkStart w:id="115" w:name="ref-Conway2018"/>
      <w:r>
        <w:t xml:space="preserve">Conway, J. P., Pomeroy, J. W., Helgason, W. D., &amp; Kinar, N. J. (2018). Challenges in modeling turbulent heat fluxes to snowpacks in forest clearings.</w:t>
      </w:r>
      <w:r>
        <w:t xml:space="preserve"> </w:t>
      </w:r>
      <w:r>
        <w:rPr>
          <w:i/>
          <w:iCs/>
        </w:rPr>
        <w:t xml:space="preserve">Journal of Hydrometeorology</w:t>
      </w:r>
      <w:r>
        <w:t xml:space="preserve">,</w:t>
      </w:r>
      <w:r>
        <w:t xml:space="preserve"> </w:t>
      </w:r>
      <w:r>
        <w:rPr>
          <w:i/>
          <w:iCs/>
        </w:rPr>
        <w:t xml:space="preserve">19</w:t>
      </w:r>
      <w:r>
        <w:t xml:space="preserve">(10), 1599–1616.</w:t>
      </w:r>
      <w:r>
        <w:t xml:space="preserve"> </w:t>
      </w:r>
      <w:hyperlink r:id="rId26" w:tooltip="https://doi.org/10.1175/JHM-D-18-0050.1" w:history="1">
        <w:r>
          <w:rPr>
            <w:rStyle w:val="745"/>
          </w:rPr>
          <w:t xml:space="preserve">https://doi.org/10.1175/JHM-D-18-0050.1</w:t>
        </w:r>
      </w:hyperlink>
      <w:r/>
      <w:bookmarkEnd w:id="115"/>
      <w:r/>
    </w:p>
    <w:p>
      <w:pPr>
        <w:pStyle w:val="813"/>
        <w:pBdr/>
        <w:spacing/>
        <w:ind/>
        <w:rPr/>
      </w:pPr>
      <w:r/>
      <w:bookmarkStart w:id="117" w:name="ref-Ellis2010"/>
      <w:r>
        <w:t xml:space="preserve">Ellis, C. R., Pomeroy, J. W., Brown, T., &amp; MacDonald, J. (2010). Simulation of snow accumulation and melt in needleleaf forest environments.</w:t>
      </w:r>
      <w:r>
        <w:t xml:space="preserve"> </w:t>
      </w:r>
      <w:r>
        <w:rPr>
          <w:i/>
          <w:iCs/>
        </w:rPr>
        <w:t xml:space="preserve">Hydrology and Earth System Sciences</w:t>
      </w:r>
      <w:r>
        <w:t xml:space="preserve">,</w:t>
      </w:r>
      <w:r>
        <w:t xml:space="preserve"> </w:t>
      </w:r>
      <w:r>
        <w:rPr>
          <w:i/>
          <w:iCs/>
        </w:rPr>
        <w:t xml:space="preserve">14</w:t>
      </w:r>
      <w:r>
        <w:t xml:space="preserve">(6), 925–940.</w:t>
      </w:r>
      <w:r>
        <w:t xml:space="preserve"> </w:t>
      </w:r>
      <w:hyperlink r:id="rId27" w:tooltip="https://doi.org/10.5194/hess-14-925-2010" w:history="1">
        <w:r>
          <w:rPr>
            <w:rStyle w:val="745"/>
          </w:rPr>
          <w:t xml:space="preserve">https://doi.org/10.5194/hess-14-925-2010</w:t>
        </w:r>
      </w:hyperlink>
      <w:r/>
      <w:bookmarkEnd w:id="117"/>
      <w:r/>
    </w:p>
    <w:p>
      <w:pPr>
        <w:pStyle w:val="813"/>
        <w:pBdr/>
        <w:spacing/>
        <w:ind/>
        <w:rPr/>
      </w:pPr>
      <w:r/>
      <w:bookmarkStart w:id="119" w:name="ref-Essery2003"/>
      <w:r>
        <w:t xml:space="preserve">Essery, R., Pomeroy, J. W., Parviainen, J., &amp; Storck, P. (2003). Sublimation of snow from coniferous forests in a climate model.</w:t>
      </w:r>
      <w:r>
        <w:t xml:space="preserve"> </w:t>
      </w:r>
      <w:r>
        <w:rPr>
          <w:i/>
          <w:iCs/>
        </w:rPr>
        <w:t xml:space="preserve">Journal of Climate</w:t>
      </w:r>
      <w:r>
        <w:t xml:space="preserve">,</w:t>
      </w:r>
      <w:r>
        <w:t xml:space="preserve"> </w:t>
      </w:r>
      <w:r>
        <w:rPr>
          <w:i/>
          <w:iCs/>
        </w:rPr>
        <w:t xml:space="preserve">16</w:t>
      </w:r>
      <w:r>
        <w:t xml:space="preserve">(11), 1855–1864.</w:t>
      </w:r>
      <w:r>
        <w:t xml:space="preserve"> </w:t>
      </w:r>
      <w:hyperlink r:id="rId28" w:tooltip="https://doi.org/10.1175/1520-0442(2003)016&lt;1855:SOSFCF&gt;2.0.CO;2" w:history="1">
        <w:r>
          <w:rPr>
            <w:rStyle w:val="745"/>
          </w:rPr>
          <w:t xml:space="preserve">https://doi.org/10.1175/1520-0442(2003)016&lt;1855:SOSFCF&gt;2.0.CO;2</w:t>
        </w:r>
      </w:hyperlink>
      <w:r/>
      <w:bookmarkEnd w:id="119"/>
      <w:r/>
    </w:p>
    <w:p>
      <w:pPr>
        <w:pStyle w:val="813"/>
        <w:pBdr/>
        <w:spacing/>
        <w:ind/>
        <w:rPr/>
      </w:pPr>
      <w:r/>
      <w:bookmarkStart w:id="121" w:name="ref-Fang2023"/>
      <w:r>
        <w:t xml:space="preserve">Fang, X., &amp; Pomeroy, J. W. (2023). Simulation of the impact of future changes in climate on the hydrology of</w:t>
      </w:r>
      <w:r>
        <w:t xml:space="preserve"> </w:t>
      </w:r>
      <w:r>
        <w:t xml:space="preserve">Bow River</w:t>
      </w:r>
      <w:r>
        <w:t xml:space="preserve"> </w:t>
      </w:r>
      <w:r>
        <w:t xml:space="preserve">headwater basins in the</w:t>
      </w:r>
      <w:r>
        <w:t xml:space="preserve"> </w:t>
      </w:r>
      <w:r>
        <w:t xml:space="preserve">Canadian Rockies</w:t>
      </w:r>
      <w:r>
        <w:t xml:space="preserve">.</w:t>
      </w:r>
      <w:r>
        <w:t xml:space="preserve"> </w:t>
      </w:r>
      <w:r>
        <w:rPr>
          <w:i/>
          <w:iCs/>
        </w:rPr>
        <w:t xml:space="preserve">Journal of Hydrology</w:t>
      </w:r>
      <w:r>
        <w:t xml:space="preserve">,</w:t>
      </w:r>
      <w:r>
        <w:t xml:space="preserve"> </w:t>
      </w:r>
      <w:r>
        <w:rPr>
          <w:i/>
          <w:iCs/>
        </w:rPr>
        <w:t xml:space="preserve">620</w:t>
      </w:r>
      <w:r>
        <w:t xml:space="preserve">, 129566.</w:t>
      </w:r>
      <w:r>
        <w:t xml:space="preserve"> </w:t>
      </w:r>
      <w:hyperlink r:id="rId29" w:tooltip="https://doi.org/10.1016/j.jhydrol.2023.129566" w:history="1">
        <w:r>
          <w:rPr>
            <w:rStyle w:val="745"/>
          </w:rPr>
          <w:t xml:space="preserve">https://doi.org/10.1016/j.jhydrol.2023.129566</w:t>
        </w:r>
      </w:hyperlink>
      <w:r/>
      <w:bookmarkEnd w:id="121"/>
      <w:r/>
    </w:p>
    <w:p>
      <w:pPr>
        <w:pStyle w:val="813"/>
        <w:pBdr/>
        <w:spacing/>
        <w:ind/>
        <w:rPr/>
      </w:pPr>
      <w:r/>
      <w:bookmarkStart w:id="123" w:name="ref-Floyd2012"/>
      <w:r>
        <w:t xml:space="preserve">Floyd, W. C. (2012).</w:t>
      </w:r>
      <w:r>
        <w:t xml:space="preserve"> </w:t>
      </w:r>
      <w:r>
        <w:rPr>
          <w:i/>
          <w:iCs/>
        </w:rPr>
        <w:t xml:space="preserve">Snowmelt energy flux recovery during rain-on-snow in regenerating forests</w:t>
      </w:r>
      <w:r>
        <w:t xml:space="preserve"> </w:t>
      </w:r>
      <w:r>
        <w:t xml:space="preserve">(p. 180) [PhD thesis, University of British Columbia]. https://doi.org/</w:t>
      </w:r>
      <w:hyperlink r:id="rId30" w:tooltip="https://dx.doi.org/10.14288/1.0073024" w:history="1">
        <w:r>
          <w:rPr>
            <w:rStyle w:val="745"/>
          </w:rPr>
          <w:t xml:space="preserve">https://dx.doi.org/10.14288/1.0073024</w:t>
        </w:r>
      </w:hyperlink>
      <w:r/>
      <w:bookmarkEnd w:id="123"/>
      <w:r/>
    </w:p>
    <w:p>
      <w:pPr>
        <w:pStyle w:val="813"/>
        <w:pBdr/>
        <w:spacing/>
        <w:ind/>
        <w:rPr/>
      </w:pPr>
      <w:r/>
      <w:bookmarkStart w:id="125" w:name="ref-Harvey2025"/>
      <w:r>
        <w:t xml:space="preserve">Harvey, N., Burns, S. P., Musselman, K. N., Barnard, H., &amp; Blanken, P. D. (2025). Identifying</w:t>
      </w:r>
      <w:r>
        <w:t xml:space="preserve"> </w:t>
      </w:r>
      <w:r>
        <w:t xml:space="preserve">Canopy Snow</w:t>
      </w:r>
      <w:r>
        <w:t xml:space="preserve"> </w:t>
      </w:r>
      <w:r>
        <w:t xml:space="preserve">in</w:t>
      </w:r>
      <w:r>
        <w:t xml:space="preserve"> </w:t>
      </w:r>
      <w:r>
        <w:t xml:space="preserve">Subalpine Forests</w:t>
      </w:r>
      <w:r>
        <w:t xml:space="preserve">:</w:t>
      </w:r>
      <w:r>
        <w:t xml:space="preserve"> </w:t>
      </w:r>
      <w:r>
        <w:t xml:space="preserve">A Comparative Study</w:t>
      </w:r>
      <w:r>
        <w:t xml:space="preserve"> </w:t>
      </w:r>
      <w:r>
        <w:t xml:space="preserve">of</w:t>
      </w:r>
      <w:r>
        <w:t xml:space="preserve"> </w:t>
      </w:r>
      <w:r>
        <w:t xml:space="preserve">Methods</w:t>
      </w:r>
      <w:r>
        <w:t xml:space="preserve">.</w:t>
      </w:r>
      <w:r>
        <w:t xml:space="preserve"> </w:t>
      </w:r>
      <w:r>
        <w:rPr>
          <w:i/>
          <w:iCs/>
        </w:rPr>
        <w:t xml:space="preserve">Water Resources Research</w:t>
      </w:r>
      <w:r>
        <w:t xml:space="preserve">,</w:t>
      </w:r>
      <w:r>
        <w:t xml:space="preserve"> </w:t>
      </w:r>
      <w:r>
        <w:rPr>
          <w:i/>
          <w:iCs/>
        </w:rPr>
        <w:t xml:space="preserve">61</w:t>
      </w:r>
      <w:r>
        <w:t xml:space="preserve">(1), e2023WR036996.</w:t>
      </w:r>
      <w:r>
        <w:t xml:space="preserve"> </w:t>
      </w:r>
      <w:hyperlink r:id="rId31" w:tooltip="https://doi.org/10.1029/2023WR036996" w:history="1">
        <w:r>
          <w:rPr>
            <w:rStyle w:val="745"/>
          </w:rPr>
          <w:t xml:space="preserve">https://doi.org/10.1029/2023WR036996</w:t>
        </w:r>
      </w:hyperlink>
      <w:r/>
      <w:bookmarkEnd w:id="125"/>
      <w:r/>
    </w:p>
    <w:p>
      <w:pPr>
        <w:pStyle w:val="813"/>
        <w:pBdr/>
        <w:spacing/>
        <w:ind/>
        <w:rPr/>
      </w:pPr>
      <w:r/>
      <w:bookmarkStart w:id="127" w:name="ref-Hedstrom1998"/>
      <w:r>
        <w:t xml:space="preserve">Hedstrom, N. R., &amp; Pomeroy, J. W. (1998). Measurements and modelling of snow interception in the boreal forest.</w:t>
      </w:r>
      <w:r>
        <w:t xml:space="preserve"> </w:t>
      </w:r>
      <w:r>
        <w:rPr>
          <w:i/>
          <w:iCs/>
        </w:rPr>
        <w:t xml:space="preserve">Hydrological Processes</w:t>
      </w:r>
      <w:r>
        <w:t xml:space="preserve">,</w:t>
      </w:r>
      <w:r>
        <w:t xml:space="preserve"> </w:t>
      </w:r>
      <w:r>
        <w:rPr>
          <w:i/>
          <w:iCs/>
        </w:rPr>
        <w:t xml:space="preserve">12</w:t>
      </w:r>
      <w:r>
        <w:t xml:space="preserve">(10-11), 1611–1625.</w:t>
      </w:r>
      <w:r>
        <w:t xml:space="preserve"> </w:t>
      </w:r>
      <w:hyperlink r:id="rId32" w:tooltip="https://doi.org/10.1002/(SICI)1099-1085(199808/09)12:10/11&lt;1611::AID-HYP684&gt;3.0.CO;2-4" w:history="1">
        <w:r>
          <w:rPr>
            <w:rStyle w:val="745"/>
          </w:rPr>
          <w:t xml:space="preserve">https://doi.org/10.1002/(SICI)1099-1085(199808/09)12:10/11&lt;1611::AID-HYP684&gt;3.0.CO;2-4</w:t>
        </w:r>
      </w:hyperlink>
      <w:r/>
      <w:bookmarkEnd w:id="127"/>
      <w:r/>
    </w:p>
    <w:p>
      <w:pPr>
        <w:pStyle w:val="813"/>
        <w:pBdr/>
        <w:spacing/>
        <w:ind/>
        <w:rPr/>
      </w:pPr>
      <w:r/>
      <w:bookmarkStart w:id="129" w:name="ref-Helgason2012a"/>
      <w:r>
        <w:t xml:space="preserve">Helgason, W., &amp; Pomeroy, J. W. (2012a). Characteristics of the near-surface boundary layer within a mountain valley during winter.</w:t>
      </w:r>
      <w:r>
        <w:t xml:space="preserve"> </w:t>
      </w:r>
      <w:r>
        <w:rPr>
          <w:i/>
          <w:iCs/>
        </w:rPr>
        <w:t xml:space="preserve">Journal of Applied Meteorology and Climatology</w:t>
      </w:r>
      <w:r>
        <w:t xml:space="preserve">,</w:t>
      </w:r>
      <w:r>
        <w:t xml:space="preserve"> </w:t>
      </w:r>
      <w:r>
        <w:rPr>
          <w:i/>
          <w:iCs/>
        </w:rPr>
        <w:t xml:space="preserve">51</w:t>
      </w:r>
      <w:r>
        <w:t xml:space="preserve">(3), 583–597.</w:t>
      </w:r>
      <w:r>
        <w:t xml:space="preserve"> </w:t>
      </w:r>
      <w:hyperlink r:id="rId33" w:tooltip="https://doi.org/10.1175/JAMC-D-11-058.1" w:history="1">
        <w:r>
          <w:rPr>
            <w:rStyle w:val="745"/>
          </w:rPr>
          <w:t xml:space="preserve">https://doi.org/10.1175/JAMC-D-11-058.1</w:t>
        </w:r>
      </w:hyperlink>
      <w:r/>
      <w:bookmarkEnd w:id="129"/>
      <w:r/>
    </w:p>
    <w:p>
      <w:pPr>
        <w:pStyle w:val="813"/>
        <w:pBdr/>
        <w:spacing/>
        <w:ind/>
        <w:rPr/>
      </w:pPr>
      <w:r/>
      <w:bookmarkStart w:id="131" w:name="ref-Helgason2012b"/>
      <w:r>
        <w:t xml:space="preserve">Helgason, W., &amp; Pomeroy, J. W. (2012b). Problems closing the energy balance over a homogeneous snow cover during midwinter.</w:t>
      </w:r>
      <w:r>
        <w:t xml:space="preserve"> </w:t>
      </w:r>
      <w:r>
        <w:rPr>
          <w:i/>
          <w:iCs/>
        </w:rPr>
        <w:t xml:space="preserve">Journal of Hydrometeorology</w:t>
      </w:r>
      <w:r>
        <w:t xml:space="preserve">,</w:t>
      </w:r>
      <w:r>
        <w:t xml:space="preserve"> </w:t>
      </w:r>
      <w:r>
        <w:rPr>
          <w:i/>
          <w:iCs/>
        </w:rPr>
        <w:t xml:space="preserve">13</w:t>
      </w:r>
      <w:r>
        <w:t xml:space="preserve">(2), 557–572.</w:t>
      </w:r>
      <w:r>
        <w:t xml:space="preserve"> </w:t>
      </w:r>
      <w:hyperlink r:id="rId34" w:tooltip="https://doi.org/10.1175/JHM-D-11-0135.1" w:history="1">
        <w:r>
          <w:rPr>
            <w:rStyle w:val="745"/>
          </w:rPr>
          <w:t xml:space="preserve">https://doi.org/10.1175/JHM-D-11-0135.1</w:t>
        </w:r>
      </w:hyperlink>
      <w:r/>
      <w:bookmarkEnd w:id="131"/>
      <w:r/>
    </w:p>
    <w:p>
      <w:pPr>
        <w:pStyle w:val="813"/>
        <w:pBdr/>
        <w:spacing/>
        <w:ind/>
        <w:rPr/>
      </w:pPr>
      <w:r/>
      <w:bookmarkStart w:id="132" w:name="ref-Hoover1967"/>
      <w:r>
        <w:t xml:space="preserve">Hoover, M. D., &amp; Leaf, C. F. (1967). Processs and</w:t>
      </w:r>
      <w:r>
        <w:t xml:space="preserve"> </w:t>
      </w:r>
      <w:r>
        <w:t xml:space="preserve">Significance</w:t>
      </w:r>
      <w:r>
        <w:t xml:space="preserve"> </w:t>
      </w:r>
      <w:r>
        <w:t xml:space="preserve">of</w:t>
      </w:r>
      <w:r>
        <w:t xml:space="preserve"> </w:t>
      </w:r>
      <w:r>
        <w:t xml:space="preserve">Interception</w:t>
      </w:r>
      <w:r>
        <w:t xml:space="preserve"> </w:t>
      </w:r>
      <w:r>
        <w:t xml:space="preserve">in</w:t>
      </w:r>
      <w:r>
        <w:t xml:space="preserve"> </w:t>
      </w:r>
      <w:r>
        <w:t xml:space="preserve">Colorado Subalpine Forest</w:t>
      </w:r>
      <w:r>
        <w:t xml:space="preserve">.</w:t>
      </w:r>
      <w:r>
        <w:t xml:space="preserve"> </w:t>
      </w:r>
      <w:r>
        <w:rPr>
          <w:i/>
          <w:iCs/>
        </w:rPr>
        <w:t xml:space="preserve">Proceeding of a</w:t>
      </w:r>
      <w:r>
        <w:rPr>
          <w:i/>
          <w:iCs/>
        </w:rPr>
        <w:t xml:space="preserve"> </w:t>
      </w:r>
      <w:r>
        <w:rPr>
          <w:i/>
          <w:iCs/>
        </w:rPr>
        <w:t xml:space="preserve">National Science Foundation Advanced Science Seminar</w:t>
      </w:r>
      <w:r>
        <w:t xml:space="preserve">.</w:t>
      </w:r>
      <w:bookmarkEnd w:id="132"/>
      <w:r/>
    </w:p>
    <w:p>
      <w:pPr>
        <w:pStyle w:val="813"/>
        <w:pBdr/>
        <w:spacing/>
        <w:ind/>
        <w:rPr/>
      </w:pPr>
      <w:r/>
      <w:bookmarkStart w:id="134" w:name="ref-Immerzeel2020"/>
      <w:r>
        <w:t xml:space="preserve">Immerzeel, W. W., Lutz, A. F., Andrade, M., Bahl, A., Biemans, H., Bolch, T., Hyde, S., Brumby, S</w:t>
      </w:r>
      <w:r>
        <w:t xml:space="preserve">., Davies, B. J., Elmore, A. C., Emmer, A., Feng, M., Fernández, A., Haritashya, U., Kargel, J. S., Koppes, M., Kraaijenbrink, P. D. A., Kulkarni, A. V., Mayewski, P. A., … Baillie, J. E. M. (2020). Importance and vulnerability of the world’s water towers.</w:t>
      </w:r>
      <w:r>
        <w:t xml:space="preserve"> </w:t>
      </w:r>
      <w:r>
        <w:rPr>
          <w:i/>
          <w:iCs/>
        </w:rPr>
        <w:t xml:space="preserve">Nature</w:t>
      </w:r>
      <w:r>
        <w:t xml:space="preserve">,</w:t>
      </w:r>
      <w:r>
        <w:t xml:space="preserve"> </w:t>
      </w:r>
      <w:r>
        <w:rPr>
          <w:i/>
          <w:iCs/>
        </w:rPr>
        <w:t xml:space="preserve">577</w:t>
      </w:r>
      <w:r>
        <w:t xml:space="preserve">(7790), 364–369.</w:t>
      </w:r>
      <w:r>
        <w:t xml:space="preserve"> </w:t>
      </w:r>
      <w:hyperlink r:id="rId35" w:tooltip="https://doi.org/10.1038/s41586-019-1822-y" w:history="1">
        <w:r>
          <w:rPr>
            <w:rStyle w:val="745"/>
          </w:rPr>
          <w:t xml:space="preserve">https://doi.org/10.1038/s41586-019-1822-y</w:t>
        </w:r>
      </w:hyperlink>
      <w:r/>
      <w:bookmarkEnd w:id="134"/>
      <w:r/>
    </w:p>
    <w:p>
      <w:pPr>
        <w:pStyle w:val="813"/>
        <w:pBdr/>
        <w:spacing/>
        <w:ind/>
        <w:rPr/>
      </w:pPr>
      <w:r/>
      <w:bookmarkStart w:id="136" w:name="ref-Katsushima2023"/>
      <w:r>
        <w:t xml:space="preserve">Katsushima, T., Kato, A., Aiura, H., Nanko, K., Suzuki, S., Takeuchi, Y., &amp; Murakami, S. (2023). Modelling of snow interception on a</w:t>
      </w:r>
      <w:r>
        <w:t xml:space="preserve"> </w:t>
      </w:r>
      <w:r>
        <w:t xml:space="preserve">Japanese</w:t>
      </w:r>
      <w:r>
        <w:t xml:space="preserve"> </w:t>
      </w:r>
      <w:r>
        <w:t xml:space="preserve">cedar canopy based on weighing tree experiment in a warm winter region.</w:t>
      </w:r>
      <w:r>
        <w:t xml:space="preserve"> </w:t>
      </w:r>
      <w:r>
        <w:rPr>
          <w:i/>
          <w:iCs/>
        </w:rPr>
        <w:t xml:space="preserve">Hydrological Processes</w:t>
      </w:r>
      <w:r>
        <w:t xml:space="preserve">,</w:t>
      </w:r>
      <w:r>
        <w:t xml:space="preserve"> </w:t>
      </w:r>
      <w:r>
        <w:rPr>
          <w:i/>
          <w:iCs/>
        </w:rPr>
        <w:t xml:space="preserve">37</w:t>
      </w:r>
      <w:r>
        <w:t xml:space="preserve">(6), 1–16.</w:t>
      </w:r>
      <w:r>
        <w:t xml:space="preserve"> </w:t>
      </w:r>
      <w:hyperlink r:id="rId36" w:tooltip="https://doi.org/10.1002/hyp.14922" w:history="1">
        <w:r>
          <w:rPr>
            <w:rStyle w:val="745"/>
          </w:rPr>
          <w:t xml:space="preserve">https://doi.org/10.1002/hyp.14922</w:t>
        </w:r>
      </w:hyperlink>
      <w:r/>
      <w:bookmarkEnd w:id="136"/>
      <w:r/>
    </w:p>
    <w:p>
      <w:pPr>
        <w:pStyle w:val="813"/>
        <w:pBdr/>
        <w:spacing/>
        <w:ind/>
        <w:rPr/>
      </w:pPr>
      <w:r/>
      <w:bookmarkStart w:id="138" w:name="ref-Kesselring2024"/>
      <w:r>
        <w:t xml:space="preserve">Kesselring, J., Morsdorf, F., Kükenbrink, D., Gastellu-Etchegorry, J.-P., &amp; Damm, A. (2024). Diversity of</w:t>
      </w:r>
      <w:r>
        <w:t xml:space="preserve"> </w:t>
      </w:r>
      <w:r>
        <w:t xml:space="preserve">3D APAR</w:t>
      </w:r>
      <w:r>
        <w:t xml:space="preserve"> </w:t>
      </w:r>
      <w:r>
        <w:t xml:space="preserve">and</w:t>
      </w:r>
      <w:r>
        <w:t xml:space="preserve"> </w:t>
      </w:r>
      <w:r>
        <w:t xml:space="preserve">LAI</w:t>
      </w:r>
      <w:r>
        <w:t xml:space="preserve"> </w:t>
      </w:r>
      <w:r>
        <w:t xml:space="preserve">dynamics in broadleaf and coniferous forests:</w:t>
      </w:r>
      <w:r>
        <w:t xml:space="preserve"> </w:t>
      </w:r>
      <w:r>
        <w:t xml:space="preserve">Implications</w:t>
      </w:r>
      <w:r>
        <w:t xml:space="preserve"> </w:t>
      </w:r>
      <w:r>
        <w:t xml:space="preserve">for the interpretation of remote sensing-based products.</w:t>
      </w:r>
      <w:r>
        <w:t xml:space="preserve"> </w:t>
      </w:r>
      <w:r>
        <w:rPr>
          <w:i/>
          <w:iCs/>
        </w:rPr>
        <w:t xml:space="preserve">Remote Sensing of Environment</w:t>
      </w:r>
      <w:r>
        <w:t xml:space="preserve">,</w:t>
      </w:r>
      <w:r>
        <w:t xml:space="preserve"> </w:t>
      </w:r>
      <w:r>
        <w:rPr>
          <w:i/>
          <w:iCs/>
        </w:rPr>
        <w:t xml:space="preserve">306</w:t>
      </w:r>
      <w:r>
        <w:t xml:space="preserve">, 114116.</w:t>
      </w:r>
      <w:r>
        <w:t xml:space="preserve"> </w:t>
      </w:r>
      <w:hyperlink r:id="rId37" w:tooltip="https://doi.org/10.1016/j.rse.2024.114116" w:history="1">
        <w:r>
          <w:rPr>
            <w:rStyle w:val="745"/>
          </w:rPr>
          <w:t xml:space="preserve">https://doi.org/10.1016/j.rse.2024.114116</w:t>
        </w:r>
      </w:hyperlink>
      <w:r/>
      <w:bookmarkEnd w:id="138"/>
      <w:r/>
    </w:p>
    <w:p>
      <w:pPr>
        <w:pStyle w:val="813"/>
        <w:pBdr/>
        <w:spacing/>
        <w:ind/>
        <w:rPr/>
      </w:pPr>
      <w:r/>
      <w:bookmarkStart w:id="140" w:name="ref-Kim2017"/>
      <w:r>
        <w:t xml:space="preserve">Kim, E., Gatebe, C., Hall, D., Newlin, J., Misakonis, A., Elder, K., Marshall, H. P., Hiemstra, C., Brucker, L., De Marco, E., Crawford, C., Kang, D. H., &amp; Entin, J. (2017).</w:t>
      </w:r>
      <w:r>
        <w:t xml:space="preserve"> </w:t>
      </w:r>
      <w:r>
        <w:t xml:space="preserve">NASA</w:t>
      </w:r>
      <w:r>
        <w:t xml:space="preserve">’s snowex campaign:</w:t>
      </w:r>
      <w:r>
        <w:t xml:space="preserve"> </w:t>
      </w:r>
      <w:r>
        <w:t xml:space="preserve">Observing</w:t>
      </w:r>
      <w:r>
        <w:t xml:space="preserve"> </w:t>
      </w:r>
      <w:r>
        <w:t xml:space="preserve">seasonal snow in a forested environment.</w:t>
      </w:r>
      <w:r>
        <w:t xml:space="preserve"> </w:t>
      </w:r>
      <w:r>
        <w:rPr>
          <w:i/>
          <w:iCs/>
        </w:rPr>
        <w:t xml:space="preserve">2017</w:t>
      </w:r>
      <w:r>
        <w:rPr>
          <w:i/>
          <w:iCs/>
        </w:rPr>
        <w:t xml:space="preserve"> </w:t>
      </w:r>
      <w:r>
        <w:rPr>
          <w:i/>
          <w:iCs/>
        </w:rPr>
        <w:t xml:space="preserve">IEEE</w:t>
      </w:r>
      <w:r>
        <w:rPr>
          <w:i/>
          <w:iCs/>
        </w:rPr>
        <w:t xml:space="preserve"> </w:t>
      </w:r>
      <w:r>
        <w:rPr>
          <w:i/>
          <w:iCs/>
        </w:rPr>
        <w:t xml:space="preserve">International Geoscience and Remote Sensing Symposium (</w:t>
      </w:r>
      <w:r>
        <w:rPr>
          <w:i/>
          <w:iCs/>
        </w:rPr>
        <w:t xml:space="preserve">IGARSS</w:t>
      </w:r>
      <w:r>
        <w:rPr>
          <w:i/>
          <w:iCs/>
        </w:rPr>
        <w:t xml:space="preserve">)</w:t>
      </w:r>
      <w:r>
        <w:t xml:space="preserve">, 1388–1390.</w:t>
      </w:r>
      <w:r>
        <w:t xml:space="preserve"> </w:t>
      </w:r>
      <w:hyperlink r:id="rId38" w:tooltip="https://doi.org/10.1109/IGARSS.2017.8127222" w:history="1">
        <w:r>
          <w:rPr>
            <w:rStyle w:val="745"/>
          </w:rPr>
          <w:t xml:space="preserve">https://doi.org/10.1109/IGARSS.2017.8127222</w:t>
        </w:r>
      </w:hyperlink>
      <w:r/>
      <w:bookmarkEnd w:id="140"/>
      <w:r/>
    </w:p>
    <w:p>
      <w:pPr>
        <w:pStyle w:val="813"/>
        <w:pBdr/>
        <w:spacing/>
        <w:ind/>
        <w:rPr/>
      </w:pPr>
      <w:r/>
      <w:bookmarkStart w:id="142" w:name="ref-Kozak1995"/>
      <w:r>
        <w:t xml:space="preserve">Kozak, A., &amp; Kozak, R. A. (1995). Notes on regression through the origin.</w:t>
      </w:r>
      <w:r>
        <w:t xml:space="preserve"> </w:t>
      </w:r>
      <w:r>
        <w:rPr>
          <w:i/>
          <w:iCs/>
        </w:rPr>
        <w:t xml:space="preserve">Forestry Chronicle</w:t>
      </w:r>
      <w:r>
        <w:t xml:space="preserve">,</w:t>
      </w:r>
      <w:r>
        <w:t xml:space="preserve"> </w:t>
      </w:r>
      <w:r>
        <w:rPr>
          <w:i/>
          <w:iCs/>
        </w:rPr>
        <w:t xml:space="preserve">71</w:t>
      </w:r>
      <w:r>
        <w:t xml:space="preserve">(3), 326–330.</w:t>
      </w:r>
      <w:r>
        <w:t xml:space="preserve"> </w:t>
      </w:r>
      <w:hyperlink r:id="rId39" w:tooltip="https://doi.org/10.5558/tfc71326-3" w:history="1">
        <w:r>
          <w:rPr>
            <w:rStyle w:val="745"/>
          </w:rPr>
          <w:t xml:space="preserve">https://doi.org/10.5558/tfc71326-3</w:t>
        </w:r>
      </w:hyperlink>
      <w:r/>
      <w:bookmarkEnd w:id="142"/>
      <w:r/>
    </w:p>
    <w:p>
      <w:pPr>
        <w:pStyle w:val="813"/>
        <w:pBdr/>
        <w:spacing/>
        <w:ind/>
        <w:rPr/>
      </w:pPr>
      <w:r/>
      <w:bookmarkStart w:id="144" w:name="ref-Krinner2018"/>
      <w:r>
        <w:t xml:space="preserve">Kri</w:t>
      </w:r>
      <w:r>
        <w:t xml:space="preserve">nner, G., Derksen, C., Essery, R., Flanner, M., Hagemann, S., Clark, M. P., Hall, A., Rott, H., Brutel-Vuilmet, C., Kim, H., Ménard, C. B., Mudryk, L., Thackeray, C., Wang, L., Arduini, G., Balsamo, G., Bartlett, P., Boike, J., Boone, A., … Zhu, D. (2018).</w:t>
      </w:r>
      <w:r>
        <w:t xml:space="preserve"> </w:t>
      </w:r>
      <w:r>
        <w:t xml:space="preserve">ESM-SnowMIP</w:t>
      </w:r>
      <w:r>
        <w:t xml:space="preserve">:</w:t>
      </w:r>
      <w:r>
        <w:t xml:space="preserve"> </w:t>
      </w:r>
      <w:r>
        <w:t xml:space="preserve">Assessing</w:t>
      </w:r>
      <w:r>
        <w:t xml:space="preserve"> </w:t>
      </w:r>
      <w:r>
        <w:t xml:space="preserve">snow models and quantifying snow-related climate feedbacks.</w:t>
      </w:r>
      <w:r>
        <w:t xml:space="preserve"> </w:t>
      </w:r>
      <w:r>
        <w:rPr>
          <w:i/>
          <w:iCs/>
        </w:rPr>
        <w:t xml:space="preserve">Geoscientific Model Development</w:t>
      </w:r>
      <w:r>
        <w:t xml:space="preserve">,</w:t>
      </w:r>
      <w:r>
        <w:t xml:space="preserve"> </w:t>
      </w:r>
      <w:r>
        <w:rPr>
          <w:i/>
          <w:iCs/>
        </w:rPr>
        <w:t xml:space="preserve">11</w:t>
      </w:r>
      <w:r>
        <w:t xml:space="preserve">(12), 5027–5049.</w:t>
      </w:r>
      <w:r>
        <w:t xml:space="preserve"> </w:t>
      </w:r>
      <w:hyperlink r:id="rId40" w:tooltip="https://doi.org/10.5194/gmd-11-5027-2018" w:history="1">
        <w:r>
          <w:rPr>
            <w:rStyle w:val="745"/>
          </w:rPr>
          <w:t xml:space="preserve">https://doi.org/10.5194/gmd-11-5027-2018</w:t>
        </w:r>
      </w:hyperlink>
      <w:r/>
      <w:bookmarkEnd w:id="144"/>
      <w:r/>
    </w:p>
    <w:p>
      <w:pPr>
        <w:pStyle w:val="813"/>
        <w:pBdr/>
        <w:spacing/>
        <w:ind/>
        <w:rPr/>
      </w:pPr>
      <w:r/>
      <w:bookmarkStart w:id="146" w:name="ref-Lopez-Moreno2014"/>
      <w:r>
        <w:t xml:space="preserve">López-Moreno, J. I., Zabalza, J., Vicente-Serrano, S. M., Revuelto, J., Gilaberte, M., Azorin-Molina, C., Morán-Tejeda, E., García-Ruiz, J. M., &amp; Tague, C. (2014). Impact of climate and land use change on water availability and reservoir management:</w:t>
      </w:r>
      <w:r>
        <w:t xml:space="preserve"> </w:t>
      </w:r>
      <w:r>
        <w:t xml:space="preserve">Scenarios</w:t>
      </w:r>
      <w:r>
        <w:t xml:space="preserve"> </w:t>
      </w:r>
      <w:r>
        <w:t xml:space="preserve">in the</w:t>
      </w:r>
      <w:r>
        <w:t xml:space="preserve"> </w:t>
      </w:r>
      <w:r>
        <w:t xml:space="preserve">Upper Arag</w:t>
      </w:r>
      <w:r>
        <w:t xml:space="preserve">ó</w:t>
      </w:r>
      <w:r>
        <w:t xml:space="preserve">n River</w:t>
      </w:r>
      <w:r>
        <w:t xml:space="preserve">,</w:t>
      </w:r>
      <w:r>
        <w:t xml:space="preserve"> </w:t>
      </w:r>
      <w:r>
        <w:t xml:space="preserve">Spanish Pyrenees</w:t>
      </w:r>
      <w:r>
        <w:t xml:space="preserve">.</w:t>
      </w:r>
      <w:r>
        <w:t xml:space="preserve"> </w:t>
      </w:r>
      <w:r>
        <w:rPr>
          <w:i/>
          <w:iCs/>
        </w:rPr>
        <w:t xml:space="preserve">Science of The Total Environment</w:t>
      </w:r>
      <w:r>
        <w:t xml:space="preserve">,</w:t>
      </w:r>
      <w:r>
        <w:t xml:space="preserve"> </w:t>
      </w:r>
      <w:r>
        <w:rPr>
          <w:i/>
          <w:iCs/>
        </w:rPr>
        <w:t xml:space="preserve">493</w:t>
      </w:r>
      <w:r>
        <w:t xml:space="preserve">, 1222–1231.</w:t>
      </w:r>
      <w:r>
        <w:t xml:space="preserve"> </w:t>
      </w:r>
      <w:hyperlink r:id="rId41" w:tooltip="https://doi.org/10.1016/j.scitotenv.2013.09.031" w:history="1">
        <w:r>
          <w:rPr>
            <w:rStyle w:val="745"/>
          </w:rPr>
          <w:t xml:space="preserve">https://doi.org/10.1016/j.scitotenv.2013.09.031</w:t>
        </w:r>
      </w:hyperlink>
      <w:r/>
      <w:bookmarkEnd w:id="146"/>
      <w:r/>
    </w:p>
    <w:p>
      <w:pPr>
        <w:pStyle w:val="813"/>
        <w:pBdr/>
        <w:spacing/>
        <w:ind/>
        <w:rPr/>
      </w:pPr>
      <w:r/>
      <w:bookmarkStart w:id="148" w:name="ref-Lumbrazo2022"/>
      <w:r>
        <w:t xml:space="preserve">Lumbrazo, C., Bennett, A., Currier, W. R., Nijssen, B., &amp; Lundquist, J. (2022). Evaluating multiple canopy-snow unloading parameterizations in</w:t>
      </w:r>
      <w:r>
        <w:t xml:space="preserve"> </w:t>
      </w:r>
      <w:r>
        <w:t xml:space="preserve">SUMMA</w:t>
      </w:r>
      <w:r>
        <w:t xml:space="preserve"> </w:t>
      </w:r>
      <w:r>
        <w:t xml:space="preserve">with time-lapse photography characterized by citizen scientists.</w:t>
      </w:r>
      <w:r>
        <w:t xml:space="preserve"> </w:t>
      </w:r>
      <w:r>
        <w:rPr>
          <w:i/>
          <w:iCs/>
        </w:rPr>
        <w:t xml:space="preserve">Water Resources Research</w:t>
      </w:r>
      <w:r>
        <w:t xml:space="preserve">,</w:t>
      </w:r>
      <w:r>
        <w:t xml:space="preserve"> </w:t>
      </w:r>
      <w:r>
        <w:rPr>
          <w:i/>
          <w:iCs/>
        </w:rPr>
        <w:t xml:space="preserve">58</w:t>
      </w:r>
      <w:r>
        <w:t xml:space="preserve">(6), 1–22.</w:t>
      </w:r>
      <w:r>
        <w:t xml:space="preserve"> </w:t>
      </w:r>
      <w:hyperlink r:id="rId42" w:tooltip="https://doi.org/10.1029/2021WR030852" w:history="1">
        <w:r>
          <w:rPr>
            <w:rStyle w:val="745"/>
          </w:rPr>
          <w:t xml:space="preserve">https://doi.org/10.1029/2021WR030852</w:t>
        </w:r>
      </w:hyperlink>
      <w:r/>
      <w:bookmarkEnd w:id="148"/>
      <w:r/>
    </w:p>
    <w:p>
      <w:pPr>
        <w:pStyle w:val="813"/>
        <w:pBdr/>
        <w:spacing/>
        <w:ind/>
        <w:rPr/>
      </w:pPr>
      <w:r/>
      <w:bookmarkStart w:id="150" w:name="ref-Lundquist2021"/>
      <w:r>
        <w:t xml:space="preserve">Lundquist, J. D., Dickerson-Lange, S., Gutmann, E., Jonas, T., Lumbrazo, C., &amp; Reynolds, D. (2021). Snow interception modelling:</w:t>
      </w:r>
      <w:r>
        <w:t xml:space="preserve"> </w:t>
      </w:r>
      <w:r>
        <w:t xml:space="preserve">Isolated</w:t>
      </w:r>
      <w:r>
        <w:t xml:space="preserve"> </w:t>
      </w:r>
      <w:r>
        <w:t xml:space="preserve">observations have led to many land surface models lacking appropriate temperature sensitivities.</w:t>
      </w:r>
      <w:r>
        <w:t xml:space="preserve"> </w:t>
      </w:r>
      <w:r>
        <w:rPr>
          <w:i/>
          <w:iCs/>
        </w:rPr>
        <w:t xml:space="preserve">Hydrological Processes</w:t>
      </w:r>
      <w:r>
        <w:t xml:space="preserve">,</w:t>
      </w:r>
      <w:r>
        <w:t xml:space="preserve"> </w:t>
      </w:r>
      <w:r>
        <w:rPr>
          <w:i/>
          <w:iCs/>
        </w:rPr>
        <w:t xml:space="preserve">35</w:t>
      </w:r>
      <w:r>
        <w:t xml:space="preserve">(7), 1–20.</w:t>
      </w:r>
      <w:r>
        <w:t xml:space="preserve"> </w:t>
      </w:r>
      <w:hyperlink r:id="rId43" w:tooltip="https://doi.org/10.1002/hyp.14274" w:history="1">
        <w:r>
          <w:rPr>
            <w:rStyle w:val="745"/>
          </w:rPr>
          <w:t xml:space="preserve">https://doi.org/10.1002/hyp.14274</w:t>
        </w:r>
      </w:hyperlink>
      <w:r/>
      <w:bookmarkEnd w:id="150"/>
      <w:r/>
    </w:p>
    <w:p>
      <w:pPr>
        <w:pStyle w:val="813"/>
        <w:pBdr/>
        <w:spacing/>
        <w:ind/>
        <w:rPr/>
      </w:pPr>
      <w:r/>
      <w:bookmarkStart w:id="151" w:name="ref-MacDonald2010"/>
      <w:r>
        <w:t xml:space="preserve">MacDonald, J. P. (2010).</w:t>
      </w:r>
      <w:r>
        <w:t xml:space="preserve"> </w:t>
      </w:r>
      <w:r>
        <w:rPr>
          <w:i/>
          <w:iCs/>
        </w:rPr>
        <w:t xml:space="preserve">Unloading of intercepted snow in conifer forests</w:t>
      </w:r>
      <w:r>
        <w:t xml:space="preserve"> </w:t>
      </w:r>
      <w:r>
        <w:t xml:space="preserve">(p. 93) [M.{{Sc}}. Thesis]. Department of Geography, University of Saskatchewan.</w:t>
      </w:r>
      <w:bookmarkEnd w:id="151"/>
      <w:r/>
    </w:p>
    <w:p>
      <w:pPr>
        <w:pStyle w:val="813"/>
        <w:pBdr/>
        <w:spacing/>
        <w:ind/>
        <w:rPr/>
      </w:pPr>
      <w:r/>
      <w:bookmarkStart w:id="153" w:name="ref-Parviainen2000"/>
      <w:r>
        <w:t xml:space="preserve">Parviainen, J., &amp; Pomeroy, J. W. (2000). Multiple-scale modelling of forest snow sublimation:</w:t>
      </w:r>
      <w:r>
        <w:t xml:space="preserve"> </w:t>
      </w:r>
      <w:r>
        <w:t xml:space="preserve">Initial</w:t>
      </w:r>
      <w:r>
        <w:t xml:space="preserve"> </w:t>
      </w:r>
      <w:r>
        <w:t xml:space="preserve">findings.</w:t>
      </w:r>
      <w:r>
        <w:t xml:space="preserve"> </w:t>
      </w:r>
      <w:r>
        <w:rPr>
          <w:i/>
          <w:iCs/>
        </w:rPr>
        <w:t xml:space="preserve">Hydrological Processes</w:t>
      </w:r>
      <w:r>
        <w:t xml:space="preserve">,</w:t>
      </w:r>
      <w:r>
        <w:t xml:space="preserve"> </w:t>
      </w:r>
      <w:r>
        <w:rPr>
          <w:i/>
          <w:iCs/>
        </w:rPr>
        <w:t xml:space="preserve">14</w:t>
      </w:r>
      <w:r>
        <w:t xml:space="preserve">(15), 2669–2681.</w:t>
      </w:r>
      <w:r>
        <w:t xml:space="preserve"> </w:t>
      </w:r>
      <w:hyperlink r:id="rId44" w:tooltip="https://doi.org/10.1002/1099-1085(20001030)14:15&lt;2669::AID-HYP85&gt;3.0.CO;2-Q" w:history="1">
        <w:r>
          <w:rPr>
            <w:rStyle w:val="745"/>
          </w:rPr>
          <w:t xml:space="preserve">https://doi.org/10.1002/1099-1085(20001030)14:15&lt;2669::AID-HYP85&gt;3.0.CO;2-Q</w:t>
        </w:r>
      </w:hyperlink>
      <w:r/>
      <w:bookmarkEnd w:id="153"/>
      <w:r/>
    </w:p>
    <w:p>
      <w:pPr>
        <w:pStyle w:val="813"/>
        <w:pBdr/>
        <w:spacing/>
        <w:ind/>
        <w:rPr/>
      </w:pPr>
      <w:r/>
      <w:bookmarkStart w:id="155" w:name="ref-Pomeroy2022"/>
      <w:r>
        <w:t xml:space="preserve">Pomeroy, J. W., Brown, T., Fang, X., Shook, K. R., Pradhananga, D., Armstrong, R., Harder,</w:t>
      </w:r>
      <w:r>
        <w:t xml:space="preserve"> P., Marsh, C., Costa, D., Krogh, S. A., Aubry-Wake, C., Annand, H., Lawford, P., He, Z., Kompanizare, M., &amp; Moreno, J. I. L. (2022). The cold regions hydrological modelling platform for hydrological diagnosis and prediction based on process understanding.</w:t>
      </w:r>
      <w:r>
        <w:t xml:space="preserve"> </w:t>
      </w:r>
      <w:r>
        <w:rPr>
          <w:i/>
          <w:iCs/>
        </w:rPr>
        <w:t xml:space="preserve">Journal of Hydrology</w:t>
      </w:r>
      <w:r>
        <w:t xml:space="preserve">,</w:t>
      </w:r>
      <w:r>
        <w:t xml:space="preserve"> </w:t>
      </w:r>
      <w:r>
        <w:rPr>
          <w:i/>
          <w:iCs/>
        </w:rPr>
        <w:t xml:space="preserve">615</w:t>
      </w:r>
      <w:r>
        <w:t xml:space="preserve">(128711), 1–25.</w:t>
      </w:r>
      <w:r>
        <w:t xml:space="preserve"> </w:t>
      </w:r>
      <w:hyperlink r:id="rId45" w:tooltip="https://doi.org/10.1016/j.jhydrol.2022.128711" w:history="1">
        <w:r>
          <w:rPr>
            <w:rStyle w:val="745"/>
          </w:rPr>
          <w:t xml:space="preserve">https://doi.org/10.1016/j.jhydrol.2022.128711</w:t>
        </w:r>
      </w:hyperlink>
      <w:r/>
      <w:bookmarkEnd w:id="155"/>
      <w:r/>
    </w:p>
    <w:p>
      <w:pPr>
        <w:pStyle w:val="813"/>
        <w:pBdr/>
        <w:spacing/>
        <w:ind/>
        <w:rPr/>
      </w:pPr>
      <w:r/>
      <w:bookmarkStart w:id="157" w:name="ref-Pomeroy2007"/>
      <w:r>
        <w:t xml:space="preserve">Pomeroy, J. W., Gray, D. M., Brown, T., Hedstrom, N. R., Quinton, W. L., Granger, R. J., &amp; Carey, S. K. (2007). The cold regions hydrological model: A platform for basing process representation and model structure on physical evidence.</w:t>
      </w:r>
      <w:r>
        <w:t xml:space="preserve"> </w:t>
      </w:r>
      <w:r>
        <w:rPr>
          <w:i/>
          <w:iCs/>
        </w:rPr>
        <w:t xml:space="preserve">Hydrological Processes</w:t>
      </w:r>
      <w:r>
        <w:t xml:space="preserve">,</w:t>
      </w:r>
      <w:r>
        <w:t xml:space="preserve"> </w:t>
      </w:r>
      <w:r>
        <w:rPr>
          <w:i/>
          <w:iCs/>
        </w:rPr>
        <w:t xml:space="preserve">21</w:t>
      </w:r>
      <w:r>
        <w:t xml:space="preserve">(19), 2650–2667.</w:t>
      </w:r>
      <w:r>
        <w:t xml:space="preserve"> </w:t>
      </w:r>
      <w:hyperlink r:id="rId46" w:tooltip="https://doi.org/10.1002/hyp.6787" w:history="1">
        <w:r>
          <w:rPr>
            <w:rStyle w:val="745"/>
          </w:rPr>
          <w:t xml:space="preserve">https://doi.org/10.1002/hyp.6787</w:t>
        </w:r>
      </w:hyperlink>
      <w:r/>
      <w:bookmarkEnd w:id="157"/>
      <w:r/>
    </w:p>
    <w:p>
      <w:pPr>
        <w:pStyle w:val="813"/>
        <w:pBdr/>
        <w:spacing/>
        <w:ind/>
        <w:rPr/>
      </w:pPr>
      <w:r/>
      <w:bookmarkStart w:id="159" w:name="ref-Pomeroy2009"/>
      <w:r>
        <w:t xml:space="preserve">Pomeroy, J. W., Marks, D., Link, T., Ellis, C. R., Hardy, J., Rowlands, A., &amp; Granger, R. (2009). The impact of coniferous forest temperature on incoming longwave radiation to melting snow.</w:t>
      </w:r>
      <w:r>
        <w:t xml:space="preserve"> </w:t>
      </w:r>
      <w:r>
        <w:rPr>
          <w:i/>
          <w:iCs/>
        </w:rPr>
        <w:t xml:space="preserve">Hydrological Processes</w:t>
      </w:r>
      <w:r>
        <w:t xml:space="preserve">,</w:t>
      </w:r>
      <w:r>
        <w:t xml:space="preserve"> </w:t>
      </w:r>
      <w:r>
        <w:rPr>
          <w:i/>
          <w:iCs/>
        </w:rPr>
        <w:t xml:space="preserve">23</w:t>
      </w:r>
      <w:r>
        <w:t xml:space="preserve">, 2513–2525.</w:t>
      </w:r>
      <w:r>
        <w:t xml:space="preserve"> </w:t>
      </w:r>
      <w:hyperlink r:id="rId47" w:tooltip="https://doi.org/10.1002/hyp.7325" w:history="1">
        <w:r>
          <w:rPr>
            <w:rStyle w:val="745"/>
          </w:rPr>
          <w:t xml:space="preserve">https://doi.org/10.1002/hyp.7325</w:t>
        </w:r>
      </w:hyperlink>
      <w:r/>
      <w:bookmarkEnd w:id="159"/>
      <w:r/>
    </w:p>
    <w:p>
      <w:pPr>
        <w:pStyle w:val="813"/>
        <w:pBdr/>
        <w:spacing/>
        <w:ind/>
        <w:rPr/>
      </w:pPr>
      <w:r/>
      <w:bookmarkStart w:id="161" w:name="ref-Pomeroy1998b"/>
      <w:r>
        <w:t xml:space="preserve">Pomeroy, J. W., Parviainen, J., Hedstrom, N., &amp; Gray, D. M. (1998). Coupled modelling of forest snow interception and sublimation.</w:t>
      </w:r>
      <w:r>
        <w:t xml:space="preserve"> </w:t>
      </w:r>
      <w:r>
        <w:rPr>
          <w:i/>
          <w:iCs/>
        </w:rPr>
        <w:t xml:space="preserve">Hydrological Processes</w:t>
      </w:r>
      <w:r>
        <w:t xml:space="preserve">,</w:t>
      </w:r>
      <w:r>
        <w:t xml:space="preserve"> </w:t>
      </w:r>
      <w:r>
        <w:rPr>
          <w:i/>
          <w:iCs/>
        </w:rPr>
        <w:t xml:space="preserve">12</w:t>
      </w:r>
      <w:r>
        <w:t xml:space="preserve">(15), 2317–2337.</w:t>
      </w:r>
      <w:r>
        <w:t xml:space="preserve"> </w:t>
      </w:r>
      <w:hyperlink r:id="rId48" w:tooltip="https://doi.org/10.1002/(SICI)1099-1085(199812)12:15&lt;2317::AID-HYP799&gt;3.0.CO;2-X" w:history="1">
        <w:r>
          <w:rPr>
            <w:rStyle w:val="745"/>
          </w:rPr>
          <w:t xml:space="preserve">https://doi.org/10.1002/(SICI)1099-1085(199812)12:15&lt;2317::AID-HYP799&gt;3.0.CO;2-X</w:t>
        </w:r>
      </w:hyperlink>
      <w:r/>
      <w:bookmarkEnd w:id="161"/>
      <w:r/>
    </w:p>
    <w:p>
      <w:pPr>
        <w:pStyle w:val="813"/>
        <w:pBdr/>
        <w:spacing/>
        <w:ind/>
        <w:rPr/>
      </w:pPr>
      <w:r/>
      <w:bookmarkStart w:id="162" w:name="ref-Pomeroy1993a"/>
      <w:r>
        <w:t xml:space="preserve">Pomeroy, J. W., &amp; Schmidt, R. A. (1993). The use of fractal geometry in modelling intercepted snow accumulation and sublimation.</w:t>
      </w:r>
      <w:r>
        <w:t xml:space="preserve"> </w:t>
      </w:r>
      <w:r>
        <w:rPr>
          <w:i/>
          <w:iCs/>
        </w:rPr>
        <w:t xml:space="preserve">Eastern Snow Conference</w:t>
      </w:r>
      <w:r>
        <w:t xml:space="preserve">,</w:t>
      </w:r>
      <w:r>
        <w:t xml:space="preserve"> </w:t>
      </w:r>
      <w:r>
        <w:rPr>
          <w:i/>
          <w:iCs/>
        </w:rPr>
        <w:t xml:space="preserve">50</w:t>
      </w:r>
      <w:r>
        <w:t xml:space="preserve">, 231–239.</w:t>
      </w:r>
      <w:bookmarkEnd w:id="162"/>
      <w:r/>
    </w:p>
    <w:p>
      <w:pPr>
        <w:pStyle w:val="813"/>
        <w:pBdr/>
        <w:spacing/>
        <w:ind/>
        <w:rPr/>
      </w:pPr>
      <w:r/>
      <w:bookmarkStart w:id="164" w:name="ref-Roesch2001"/>
      <w:r>
        <w:t xml:space="preserve">Roesch, A., Wild, M., Gilgen, H., &amp; Ohmura, A. (2001). A new snow cover fraction parameterization for the</w:t>
      </w:r>
      <w:r>
        <w:t xml:space="preserve"> </w:t>
      </w:r>
      <w:r>
        <w:t xml:space="preserve">ECHAM4 GCM</w:t>
      </w:r>
      <w:r>
        <w:t xml:space="preserve">.</w:t>
      </w:r>
      <w:r>
        <w:t xml:space="preserve"> </w:t>
      </w:r>
      <w:r>
        <w:rPr>
          <w:i/>
          <w:iCs/>
        </w:rPr>
        <w:t xml:space="preserve">Climate Dynamics</w:t>
      </w:r>
      <w:r>
        <w:t xml:space="preserve">,</w:t>
      </w:r>
      <w:r>
        <w:t xml:space="preserve"> </w:t>
      </w:r>
      <w:r>
        <w:rPr>
          <w:i/>
          <w:iCs/>
        </w:rPr>
        <w:t xml:space="preserve">17</w:t>
      </w:r>
      <w:r>
        <w:t xml:space="preserve">(12), 933–946.</w:t>
      </w:r>
      <w:r>
        <w:t xml:space="preserve"> </w:t>
      </w:r>
      <w:hyperlink r:id="rId49" w:tooltip="https://doi.org/10.1007/s003820100153" w:history="1">
        <w:r>
          <w:rPr>
            <w:rStyle w:val="745"/>
          </w:rPr>
          <w:t xml:space="preserve">https://doi.org/10.1007/s003820100153</w:t>
        </w:r>
      </w:hyperlink>
      <w:r/>
      <w:bookmarkEnd w:id="164"/>
      <w:r/>
    </w:p>
    <w:p>
      <w:pPr>
        <w:pStyle w:val="813"/>
        <w:pBdr/>
        <w:spacing/>
        <w:ind/>
        <w:rPr/>
      </w:pPr>
      <w:r/>
      <w:bookmarkStart w:id="166" w:name="ref-Rutter2009"/>
      <w:r>
        <w:t xml:space="preserve">Rutter, N., Essery, R., Pomeroy, J. W., Altimir, N.</w:t>
      </w:r>
      <w:r>
        <w:t xml:space="preserve">, Andreadis, K. M., Baker, I., Barr, A., Bartlett, P., Boone, A., Deng, H., Douville, H., Dutra, E., Elder, K., Ellis, C. R., Feng, X., Gelfan, A., Goodbody, A., Gusev, Y., Gustafsson, D., … Yamazaki, T. (2009). Evaluation of forest snow processes models (</w:t>
      </w:r>
      <w:r>
        <w:t xml:space="preserve">SnowMIP2</w:t>
      </w:r>
      <w:r>
        <w:t xml:space="preserve">).</w:t>
      </w:r>
      <w:r>
        <w:t xml:space="preserve"> </w:t>
      </w:r>
      <w:r>
        <w:rPr>
          <w:i/>
          <w:iCs/>
        </w:rPr>
        <w:t xml:space="preserve">Journal of Geophysical Research: Atmospheres</w:t>
      </w:r>
      <w:r>
        <w:t xml:space="preserve">,</w:t>
      </w:r>
      <w:r>
        <w:t xml:space="preserve"> </w:t>
      </w:r>
      <w:r>
        <w:rPr>
          <w:i/>
          <w:iCs/>
        </w:rPr>
        <w:t xml:space="preserve">114</w:t>
      </w:r>
      <w:r>
        <w:t xml:space="preserve">(D6), 10–18.</w:t>
      </w:r>
      <w:r>
        <w:t xml:space="preserve"> </w:t>
      </w:r>
      <w:hyperlink r:id="rId50" w:tooltip="https://doi.org/10.1029/2008JD011063" w:history="1">
        <w:r>
          <w:rPr>
            <w:rStyle w:val="745"/>
          </w:rPr>
          <w:t xml:space="preserve">https://doi.org/10.1029/2008JD011063</w:t>
        </w:r>
      </w:hyperlink>
      <w:r/>
      <w:bookmarkEnd w:id="166"/>
      <w:r/>
    </w:p>
    <w:p>
      <w:pPr>
        <w:pStyle w:val="813"/>
        <w:pBdr/>
        <w:spacing/>
        <w:ind/>
        <w:rPr/>
      </w:pPr>
      <w:r/>
      <w:bookmarkStart w:id="168" w:name="ref-Safa2021"/>
      <w:r>
        <w:t xml:space="preserve">Safa, H., Krogh, S. A., Greenberg, J., Kostadinov, T. S., &amp; Harpold, A. A. (2021). Unraveling the controls on snow disappearance in montane conifer forests using multi-site lidar.</w:t>
      </w:r>
      <w:r>
        <w:t xml:space="preserve"> </w:t>
      </w:r>
      <w:r>
        <w:rPr>
          <w:i/>
          <w:iCs/>
        </w:rPr>
        <w:t xml:space="preserve">Water Resources Research</w:t>
      </w:r>
      <w:r>
        <w:t xml:space="preserve">,</w:t>
      </w:r>
      <w:r>
        <w:t xml:space="preserve"> </w:t>
      </w:r>
      <w:r>
        <w:rPr>
          <w:i/>
          <w:iCs/>
        </w:rPr>
        <w:t xml:space="preserve">57</w:t>
      </w:r>
      <w:r>
        <w:t xml:space="preserve">(12), 1–20.</w:t>
      </w:r>
      <w:r>
        <w:t xml:space="preserve"> </w:t>
      </w:r>
      <w:hyperlink r:id="rId51" w:tooltip="https://doi.org/10.1029/2020WR027522" w:history="1">
        <w:r>
          <w:rPr>
            <w:rStyle w:val="745"/>
          </w:rPr>
          <w:t xml:space="preserve">https://doi.org/10.1029/2020WR027522</w:t>
        </w:r>
      </w:hyperlink>
      <w:r/>
      <w:bookmarkEnd w:id="168"/>
      <w:r/>
    </w:p>
    <w:p>
      <w:pPr>
        <w:pStyle w:val="813"/>
        <w:pBdr/>
        <w:spacing/>
        <w:ind/>
        <w:rPr/>
      </w:pPr>
      <w:r/>
      <w:bookmarkStart w:id="170" w:name="ref-Sanmiguel-Vallelado2020"/>
      <w:r>
        <w:t xml:space="preserve">Sanmiguel-Vallelado, A., López-Moreno, J. I., Morán-Tejeda, E., Alonso-González, E., Navarro-Serrano, F. M., Rico, I., &amp; Camarero, J. J. (2020). Variable effects of forest canopies on snow processes in a valley of the central</w:t>
      </w:r>
      <w:r>
        <w:t xml:space="preserve"> </w:t>
      </w:r>
      <w:r>
        <w:t xml:space="preserve">Spanish Pyrenees</w:t>
      </w:r>
      <w:r>
        <w:t xml:space="preserve">.</w:t>
      </w:r>
      <w:r>
        <w:t xml:space="preserve"> </w:t>
      </w:r>
      <w:r>
        <w:rPr>
          <w:i/>
          <w:iCs/>
        </w:rPr>
        <w:t xml:space="preserve">Hydrological Processes</w:t>
      </w:r>
      <w:r>
        <w:t xml:space="preserve">,</w:t>
      </w:r>
      <w:r>
        <w:t xml:space="preserve"> </w:t>
      </w:r>
      <w:r>
        <w:rPr>
          <w:i/>
          <w:iCs/>
        </w:rPr>
        <w:t xml:space="preserve">34</w:t>
      </w:r>
      <w:r>
        <w:t xml:space="preserve">(10), 2247–2262.</w:t>
      </w:r>
      <w:r>
        <w:t xml:space="preserve"> </w:t>
      </w:r>
      <w:hyperlink r:id="rId52" w:tooltip="https://doi.org/10.1002/hyp.13721" w:history="1">
        <w:r>
          <w:rPr>
            <w:rStyle w:val="745"/>
          </w:rPr>
          <w:t xml:space="preserve">https://doi.org/10.1002/hyp.13721</w:t>
        </w:r>
      </w:hyperlink>
      <w:r/>
      <w:bookmarkEnd w:id="170"/>
      <w:r/>
    </w:p>
    <w:p>
      <w:pPr>
        <w:pStyle w:val="813"/>
        <w:pBdr/>
        <w:spacing/>
        <w:ind/>
        <w:rPr/>
      </w:pPr>
      <w:r/>
      <w:bookmarkStart w:id="172" w:name="ref-Schmidt1991"/>
      <w:r>
        <w:t xml:space="preserve">Schmidt, R. A., &amp; Gluns, D. R. (1991). Snowfall interception on branches of three conifer species.</w:t>
      </w:r>
      <w:r>
        <w:t xml:space="preserve"> </w:t>
      </w:r>
      <w:r>
        <w:rPr>
          <w:i/>
          <w:iCs/>
        </w:rPr>
        <w:t xml:space="preserve">Canadian Journal of Forest Research</w:t>
      </w:r>
      <w:r>
        <w:t xml:space="preserve">,</w:t>
      </w:r>
      <w:r>
        <w:t xml:space="preserve"> </w:t>
      </w:r>
      <w:r>
        <w:rPr>
          <w:i/>
          <w:iCs/>
        </w:rPr>
        <w:t xml:space="preserve">21</w:t>
      </w:r>
      <w:r>
        <w:t xml:space="preserve">(8), 1262–1269.</w:t>
      </w:r>
      <w:r>
        <w:t xml:space="preserve"> </w:t>
      </w:r>
      <w:hyperlink r:id="rId53" w:tooltip="https://doi.org/10.1139/x91-176" w:history="1">
        <w:r>
          <w:rPr>
            <w:rStyle w:val="745"/>
          </w:rPr>
          <w:t xml:space="preserve">https://doi.org/10.1139/x91-176</w:t>
        </w:r>
      </w:hyperlink>
      <w:r/>
      <w:bookmarkEnd w:id="172"/>
      <w:r/>
    </w:p>
    <w:p>
      <w:pPr>
        <w:pStyle w:val="813"/>
        <w:pBdr/>
        <w:spacing/>
        <w:ind/>
        <w:rPr/>
      </w:pPr>
      <w:r/>
      <w:bookmarkStart w:id="174" w:name="ref-Schmidt1990"/>
      <w:r>
        <w:t xml:space="preserve">Schmidt, R. A., &amp; Pomeroy, J. W. (1990). Bending of a conifer branch at subfreezing temperatures: Implications for snow interception.</w:t>
      </w:r>
      <w:r>
        <w:t xml:space="preserve"> </w:t>
      </w:r>
      <w:r>
        <w:rPr>
          <w:i/>
          <w:iCs/>
        </w:rPr>
        <w:t xml:space="preserve">Canadian Journal of Forest Research</w:t>
      </w:r>
      <w:r>
        <w:t xml:space="preserve">,</w:t>
      </w:r>
      <w:r>
        <w:t xml:space="preserve"> </w:t>
      </w:r>
      <w:r>
        <w:rPr>
          <w:i/>
          <w:iCs/>
        </w:rPr>
        <w:t xml:space="preserve">20</w:t>
      </w:r>
      <w:r>
        <w:t xml:space="preserve">(8), 1251–1253.</w:t>
      </w:r>
      <w:r>
        <w:t xml:space="preserve"> </w:t>
      </w:r>
      <w:hyperlink r:id="rId54" w:tooltip="https://doi.org/10.1139/x90-165" w:history="1">
        <w:r>
          <w:rPr>
            <w:rStyle w:val="745"/>
          </w:rPr>
          <w:t xml:space="preserve">https://doi.org/10.1139/x90-165</w:t>
        </w:r>
      </w:hyperlink>
      <w:r/>
      <w:bookmarkEnd w:id="174"/>
      <w:r/>
    </w:p>
    <w:p>
      <w:pPr>
        <w:pStyle w:val="813"/>
        <w:pBdr/>
        <w:spacing/>
        <w:ind/>
        <w:rPr/>
      </w:pPr>
      <w:r/>
      <w:bookmarkStart w:id="175" w:name="ref-Sicart2006"/>
      <w:r>
        <w:t xml:space="preserve">Sicart, J. E., Pomeroy, J. W., Essery, R. L. H., &amp; Bewley, D. (2006). Incoming longwave radiation to melting snow: Observations, sensitivity and estimation in</w:t>
      </w:r>
      <w:r>
        <w:t xml:space="preserve"> </w:t>
      </w:r>
      <w:r>
        <w:t xml:space="preserve">Northern</w:t>
      </w:r>
      <w:r>
        <w:t xml:space="preserve"> </w:t>
      </w:r>
      <w:r>
        <w:t xml:space="preserve">environments.</w:t>
      </w:r>
      <w:r>
        <w:t xml:space="preserve"> </w:t>
      </w:r>
      <w:r>
        <w:rPr>
          <w:i/>
          <w:iCs/>
        </w:rPr>
        <w:t xml:space="preserve">Hydrological Processes</w:t>
      </w:r>
      <w:r>
        <w:t xml:space="preserve">,</w:t>
      </w:r>
      <w:r>
        <w:t xml:space="preserve"> </w:t>
      </w:r>
      <w:r>
        <w:rPr>
          <w:i/>
          <w:iCs/>
        </w:rPr>
        <w:t xml:space="preserve">20</w:t>
      </w:r>
      <w:r>
        <w:t xml:space="preserve">(17), 3697–3708.</w:t>
      </w:r>
      <w:bookmarkEnd w:id="175"/>
      <w:r/>
    </w:p>
    <w:p>
      <w:pPr>
        <w:pStyle w:val="813"/>
        <w:pBdr/>
        <w:spacing/>
        <w:ind/>
        <w:rPr/>
      </w:pPr>
      <w:r/>
      <w:bookmarkStart w:id="177" w:name="ref-Storck2002"/>
      <w:r>
        <w:t xml:space="preserve">Storck, P., Lettenmaier, D. P., &amp; Bolton, S. M. (2002). Measurement of snow interception and canopy effects on snow accumulation and melt in a mountainous maritime climate,</w:t>
      </w:r>
      <w:r>
        <w:t xml:space="preserve"> </w:t>
      </w:r>
      <w:r>
        <w:t xml:space="preserve">Oregon</w:t>
      </w:r>
      <w:r>
        <w:t xml:space="preserve">,</w:t>
      </w:r>
      <w:r>
        <w:t xml:space="preserve"> </w:t>
      </w:r>
      <w:r>
        <w:t xml:space="preserve">United States</w:t>
      </w:r>
      <w:r>
        <w:t xml:space="preserve">.</w:t>
      </w:r>
      <w:r>
        <w:t xml:space="preserve"> </w:t>
      </w:r>
      <w:r>
        <w:rPr>
          <w:i/>
          <w:iCs/>
        </w:rPr>
        <w:t xml:space="preserve">Water Resources Research</w:t>
      </w:r>
      <w:r>
        <w:t xml:space="preserve">,</w:t>
      </w:r>
      <w:r>
        <w:t xml:space="preserve"> </w:t>
      </w:r>
      <w:r>
        <w:rPr>
          <w:i/>
          <w:iCs/>
        </w:rPr>
        <w:t xml:space="preserve">38</w:t>
      </w:r>
      <w:r>
        <w:t xml:space="preserve">(11), 1–16.</w:t>
      </w:r>
      <w:r>
        <w:t xml:space="preserve"> </w:t>
      </w:r>
      <w:hyperlink r:id="rId55" w:tooltip="https://doi.org/10.1029/2002wr001281" w:history="1">
        <w:r>
          <w:rPr>
            <w:rStyle w:val="745"/>
          </w:rPr>
          <w:t xml:space="preserve">https://doi.org/10.1029/2002wr001281</w:t>
        </w:r>
      </w:hyperlink>
      <w:r/>
      <w:bookmarkEnd w:id="177"/>
      <w:r/>
    </w:p>
    <w:p>
      <w:pPr>
        <w:pStyle w:val="813"/>
        <w:pBdr/>
        <w:spacing/>
        <w:ind/>
        <w:rPr/>
      </w:pPr>
      <w:r/>
      <w:bookmarkStart w:id="179" w:name="ref-Szczypta2015"/>
      <w:r>
        <w:t xml:space="preserve">Szczypta, C., Gascoin, S., Houet, T., Hagolle, O., Dejoux, J.-F., Vigneau, C., &amp; Fanise, P. (2015). Impact of climate and land cover changes on snow cover in a small</w:t>
      </w:r>
      <w:r>
        <w:t xml:space="preserve"> </w:t>
      </w:r>
      <w:r>
        <w:t xml:space="preserve">Pyrenean</w:t>
      </w:r>
      <w:r>
        <w:t xml:space="preserve"> </w:t>
      </w:r>
      <w:r>
        <w:t xml:space="preserve">catchment.</w:t>
      </w:r>
      <w:r>
        <w:t xml:space="preserve"> </w:t>
      </w:r>
      <w:r>
        <w:rPr>
          <w:i/>
          <w:iCs/>
        </w:rPr>
        <w:t xml:space="preserve">Journal of Hydrology</w:t>
      </w:r>
      <w:r>
        <w:t xml:space="preserve">,</w:t>
      </w:r>
      <w:r>
        <w:t xml:space="preserve"> </w:t>
      </w:r>
      <w:r>
        <w:rPr>
          <w:i/>
          <w:iCs/>
        </w:rPr>
        <w:t xml:space="preserve">521</w:t>
      </w:r>
      <w:r>
        <w:t xml:space="preserve">, 84–99.</w:t>
      </w:r>
      <w:r>
        <w:t xml:space="preserve"> </w:t>
      </w:r>
      <w:hyperlink r:id="rId56" w:tooltip="https://doi.org/10.1016/j.jhydrol.2014.11.060" w:history="1">
        <w:r>
          <w:rPr>
            <w:rStyle w:val="745"/>
          </w:rPr>
          <w:t xml:space="preserve">https://doi.org/10.1016/j.jhydrol.2014.11.060</w:t>
        </w:r>
      </w:hyperlink>
      <w:r/>
      <w:bookmarkEnd w:id="179"/>
      <w:r/>
    </w:p>
    <w:p>
      <w:pPr>
        <w:pStyle w:val="813"/>
        <w:pBdr/>
        <w:spacing/>
        <w:ind/>
        <w:rPr/>
      </w:pPr>
      <w:r/>
      <w:bookmarkStart w:id="181" w:name="ref-Troendle1983"/>
      <w:r>
        <w:t xml:space="preserve">Troendle, C. A. (1983). The potential for water yield augmentation from forest management in the rocky mountain region.</w:t>
      </w:r>
      <w:r>
        <w:t xml:space="preserve"> </w:t>
      </w:r>
      <w:r>
        <w:rPr>
          <w:i/>
          <w:iCs/>
        </w:rPr>
        <w:t xml:space="preserve">Journal of the American Water Resources Association</w:t>
      </w:r>
      <w:r>
        <w:t xml:space="preserve">,</w:t>
      </w:r>
      <w:r>
        <w:t xml:space="preserve"> </w:t>
      </w:r>
      <w:r>
        <w:rPr>
          <w:i/>
          <w:iCs/>
        </w:rPr>
        <w:t xml:space="preserve">19</w:t>
      </w:r>
      <w:r>
        <w:t xml:space="preserve">(3), 359–373.</w:t>
      </w:r>
      <w:r>
        <w:t xml:space="preserve"> </w:t>
      </w:r>
      <w:hyperlink r:id="rId57" w:tooltip="https://doi.org/10.1111/j.1752-1688.1983.tb04593.x" w:history="1">
        <w:r>
          <w:rPr>
            <w:rStyle w:val="745"/>
          </w:rPr>
          <w:t xml:space="preserve">https://doi.org/10.1111/j.1752-1688.1983.tb04593.x</w:t>
        </w:r>
      </w:hyperlink>
      <w:r/>
      <w:bookmarkEnd w:id="181"/>
      <w:r/>
    </w:p>
    <w:p>
      <w:pPr>
        <w:pStyle w:val="813"/>
        <w:pBdr/>
        <w:spacing/>
        <w:ind/>
        <w:rPr/>
      </w:pPr>
      <w:r/>
      <w:bookmarkStart w:id="182" w:name="ref-Verseghy2017"/>
      <w:r>
        <w:t xml:space="preserve">Verseghy, D. L. (2017).</w:t>
      </w:r>
      <w:r>
        <w:t xml:space="preserve"> </w:t>
      </w:r>
      <w:r>
        <w:rPr>
          <w:i/>
          <w:iCs/>
        </w:rPr>
        <w:t xml:space="preserve">Class – the canadian land surface scheme (version 3.6.1) technical documentation.</w:t>
      </w:r>
      <w:r>
        <w:t xml:space="preserve"> </w:t>
      </w:r>
      <w:r>
        <w:t xml:space="preserve">(January; p. 174).</w:t>
      </w:r>
      <w:r>
        <w:t xml:space="preserve"> </w:t>
      </w:r>
      <w:r>
        <w:t xml:space="preserve">Environment and Climate Change Canada Internal Rep.</w:t>
      </w:r>
      <w:bookmarkEnd w:id="182"/>
      <w:r/>
    </w:p>
    <w:p>
      <w:pPr>
        <w:pStyle w:val="813"/>
        <w:pBdr/>
        <w:spacing/>
        <w:ind/>
        <w:rPr/>
      </w:pPr>
      <w:r/>
      <w:bookmarkStart w:id="184" w:name="ref-Viviroli2020"/>
      <w:r>
        <w:t xml:space="preserve">Viviroli, D., Kummu, M., Meybeck, M., Kallio, M., &amp; Wada, Y. (2020). Increasing dependence of lowland populations on mountain water resources.</w:t>
      </w:r>
      <w:r>
        <w:t xml:space="preserve"> </w:t>
      </w:r>
      <w:r>
        <w:rPr>
          <w:i/>
          <w:iCs/>
        </w:rPr>
        <w:t xml:space="preserve">Nature Sustainability</w:t>
      </w:r>
      <w:r>
        <w:t xml:space="preserve">,</w:t>
      </w:r>
      <w:r>
        <w:t xml:space="preserve"> </w:t>
      </w:r>
      <w:r>
        <w:rPr>
          <w:i/>
          <w:iCs/>
        </w:rPr>
        <w:t xml:space="preserve">3</w:t>
      </w:r>
      <w:r>
        <w:t xml:space="preserve">(11), 917–928.</w:t>
      </w:r>
      <w:r>
        <w:t xml:space="preserve"> </w:t>
      </w:r>
      <w:hyperlink r:id="rId58" w:tooltip="https://doi.org/10.1038/s41893-020-0559-9" w:history="1">
        <w:r>
          <w:rPr>
            <w:rStyle w:val="745"/>
          </w:rPr>
          <w:t xml:space="preserve">https://doi.org/10.1038/s41893-020-0559-9</w:t>
        </w:r>
      </w:hyperlink>
      <w:r/>
      <w:bookmarkEnd w:id="184"/>
      <w:r/>
    </w:p>
    <w:p>
      <w:pPr>
        <w:pStyle w:val="813"/>
        <w:pBdr/>
        <w:spacing/>
        <w:ind/>
        <w:rPr/>
      </w:pPr>
      <w:r/>
      <w:bookmarkStart w:id="186" w:name="ref-Weiskittel2009"/>
      <w:r>
        <w:t xml:space="preserve">Weiskittel, A. R., Kershaw, J. A., Hofmeyer, P. V., &amp; Seymour, R. S. (2009). Species differences in total and vertical distribution of branch- and tree-level leaf area for the five primary conifer species in</w:t>
      </w:r>
      <w:r>
        <w:t xml:space="preserve"> </w:t>
      </w:r>
      <w:r>
        <w:t xml:space="preserve">Maine</w:t>
      </w:r>
      <w:r>
        <w:t xml:space="preserve">,</w:t>
      </w:r>
      <w:r>
        <w:t xml:space="preserve"> </w:t>
      </w:r>
      <w:r>
        <w:t xml:space="preserve">USA</w:t>
      </w:r>
      <w:r>
        <w:t xml:space="preserve">.</w:t>
      </w:r>
      <w:r>
        <w:t xml:space="preserve"> </w:t>
      </w:r>
      <w:r>
        <w:rPr>
          <w:i/>
          <w:iCs/>
        </w:rPr>
        <w:t xml:space="preserve">Forest Ecology and Management</w:t>
      </w:r>
      <w:r>
        <w:t xml:space="preserve">,</w:t>
      </w:r>
      <w:r>
        <w:t xml:space="preserve"> </w:t>
      </w:r>
      <w:r>
        <w:rPr>
          <w:i/>
          <w:iCs/>
        </w:rPr>
        <w:t xml:space="preserve">258</w:t>
      </w:r>
      <w:r>
        <w:t xml:space="preserve">(7), 1695–1703.</w:t>
      </w:r>
      <w:r>
        <w:t xml:space="preserve"> </w:t>
      </w:r>
      <w:hyperlink r:id="rId59" w:tooltip="https://doi.org/10.1016/j.foreco.2009.07.035" w:history="1">
        <w:r>
          <w:rPr>
            <w:rStyle w:val="745"/>
          </w:rPr>
          <w:t xml:space="preserve">https://doi.org/10.1016/j.foreco.2009.07.035</w:t>
        </w:r>
      </w:hyperlink>
      <w:r/>
      <w:bookmarkEnd w:id="186"/>
      <w:bookmarkEnd w:id="187"/>
      <w:bookmarkEnd w:id="188"/>
      <w:r/>
    </w:p>
    <w:sectPr>
      <w:footnotePr/>
      <w:endnotePr/>
      <w:type w:val="nextPage"/>
      <w:pgSz w:h="13606" w:orient="portrait" w:w="11906"/>
      <w:pgMar w:top="567" w:right="935" w:bottom="1338" w:left="935" w:header="0" w:footer="0" w:gutter="0"/>
      <w:lnNumType w:countBy="5" w:distance="226" w:restart="continuous"/>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Symbol">
    <w:panose1 w:val="05010000000000000000"/>
  </w:font>
  <w:font w:name="Calibri">
    <w:panose1 w:val="020F0502020204030204"/>
  </w:font>
  <w:font w:name="Aptos">
    <w:panose1 w:val="05040102010807070707"/>
  </w:font>
  <w:font w:name="Aptos Display">
    <w:panose1 w:val="05040102010807070707"/>
  </w:font>
  <w:font w:name="Noto Sans CJK SC">
    <w:panose1 w:val="020B0500000000000000"/>
  </w:font>
  <w:font w:name="Noto Sans Devanagari">
    <w:panose1 w:val="020B0502040504020204"/>
  </w:font>
  <w:font w:name="Wingdings">
    <w:panose1 w:val="05010000000000000000"/>
  </w:font>
  <w:font w:name="Liberation Sans">
    <w:panose1 w:val="020B0604020202020204"/>
  </w:font>
  <w:font w:name="Consolas">
    <w:panose1 w:val="020B0606020202030204"/>
  </w:font>
  <w:font w:name="Arial">
    <w:panose1 w:val="020B060402020202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true"/>
      <w:lvlJc w:val="left"/>
      <w:lvlText w:val="%1."/>
      <w:numFmt w:val="decimal"/>
      <w:pPr>
        <w:pBdr/>
        <w:tabs>
          <w:tab w:val="num" w:leader="none" w:pos="0"/>
        </w:tabs>
        <w:spacing/>
        <w:ind w:hanging="360" w:left="720"/>
      </w:pPr>
      <w:rPr/>
      <w:start w:val="1"/>
      <w:suff w:val="tab"/>
    </w:lvl>
    <w:lvl w:ilvl="1">
      <w:isLgl w:val="true"/>
      <w:lvlJc w:val="left"/>
      <w:lvlText w:val="%2."/>
      <w:numFmt w:val="decimal"/>
      <w:pPr>
        <w:pBdr/>
        <w:tabs>
          <w:tab w:val="num" w:leader="none" w:pos="0"/>
        </w:tabs>
        <w:spacing/>
        <w:ind w:hanging="360" w:left="1440"/>
      </w:pPr>
      <w:rPr/>
      <w:start w:val="1"/>
      <w:suff w:val="tab"/>
    </w:lvl>
    <w:lvl w:ilvl="2">
      <w:isLgl w:val="true"/>
      <w:lvlJc w:val="left"/>
      <w:lvlText w:val="%3."/>
      <w:numFmt w:val="decimal"/>
      <w:pPr>
        <w:pBdr/>
        <w:tabs>
          <w:tab w:val="num" w:leader="none" w:pos="0"/>
        </w:tabs>
        <w:spacing/>
        <w:ind w:hanging="360" w:left="2160"/>
      </w:pPr>
      <w:rPr/>
      <w:start w:val="1"/>
      <w:suff w:val="tab"/>
    </w:lvl>
    <w:lvl w:ilvl="3">
      <w:isLgl w:val="true"/>
      <w:lvlJc w:val="left"/>
      <w:lvlText w:val="%4."/>
      <w:numFmt w:val="decimal"/>
      <w:pPr>
        <w:pBdr/>
        <w:tabs>
          <w:tab w:val="num" w:leader="none" w:pos="0"/>
        </w:tabs>
        <w:spacing/>
        <w:ind w:hanging="360" w:left="2880"/>
      </w:pPr>
      <w:rPr/>
      <w:start w:val="1"/>
      <w:suff w:val="tab"/>
    </w:lvl>
    <w:lvl w:ilvl="4">
      <w:isLgl w:val="true"/>
      <w:lvlJc w:val="left"/>
      <w:lvlText w:val="%5."/>
      <w:numFmt w:val="decimal"/>
      <w:pPr>
        <w:pBdr/>
        <w:tabs>
          <w:tab w:val="num" w:leader="none" w:pos="0"/>
        </w:tabs>
        <w:spacing/>
        <w:ind w:hanging="360" w:left="3600"/>
      </w:pPr>
      <w:rPr/>
      <w:start w:val="1"/>
      <w:suff w:val="tab"/>
    </w:lvl>
    <w:lvl w:ilvl="5">
      <w:isLgl w:val="true"/>
      <w:lvlJc w:val="left"/>
      <w:lvlText w:val="%6."/>
      <w:numFmt w:val="decimal"/>
      <w:pPr>
        <w:pBdr/>
        <w:tabs>
          <w:tab w:val="num" w:leader="none" w:pos="0"/>
        </w:tabs>
        <w:spacing/>
        <w:ind w:hanging="360" w:left="4320"/>
      </w:pPr>
      <w:rPr/>
      <w:start w:val="1"/>
      <w:suff w:val="tab"/>
    </w:lvl>
    <w:lvl w:ilvl="6">
      <w:isLgl w:val="true"/>
      <w:lvlJc w:val="left"/>
      <w:lvlText w:val="%7."/>
      <w:numFmt w:val="decimal"/>
      <w:pPr>
        <w:pBdr/>
        <w:tabs>
          <w:tab w:val="num" w:leader="none" w:pos="0"/>
        </w:tabs>
        <w:spacing/>
        <w:ind w:hanging="360" w:left="5040"/>
      </w:pPr>
      <w:rPr/>
      <w:start w:val="1"/>
      <w:suff w:val="tab"/>
    </w:lvl>
    <w:lvl w:ilvl="7">
      <w:isLgl w:val="true"/>
      <w:lvlJc w:val="left"/>
      <w:lvlText w:val="%8."/>
      <w:numFmt w:val="decimal"/>
      <w:pPr>
        <w:pBdr/>
        <w:tabs>
          <w:tab w:val="num" w:leader="none" w:pos="0"/>
        </w:tabs>
        <w:spacing/>
        <w:ind w:hanging="360" w:left="5760"/>
      </w:pPr>
      <w:rPr/>
      <w:start w:val="1"/>
      <w:suff w:val="tab"/>
    </w:lvl>
    <w:lvl w:ilvl="8">
      <w:isLgl w:val="true"/>
      <w:lvlJc w:val="left"/>
      <w:lvlText w:val="%9."/>
      <w:numFmt w:val="decimal"/>
      <w:pPr>
        <w:pBdr/>
        <w:tabs>
          <w:tab w:val="num" w:leader="none" w:pos="0"/>
        </w:tabs>
        <w:spacing/>
        <w:ind w:hanging="360" w:left="6480"/>
      </w:pPr>
      <w:rPr/>
      <w:start w:val="1"/>
      <w:suff w:val="tab"/>
    </w:lvl>
  </w:abstractNum>
  <w:abstractNum w:abstractNumId="1">
    <w:lvl w:ilvl="0">
      <w:isLgl w:val="true"/>
      <w:lvlJc w:val="left"/>
      <w:lvlText w:val="%1."/>
      <w:numFmt w:val="lowerLetter"/>
      <w:pPr>
        <w:pBdr/>
        <w:tabs>
          <w:tab w:val="num" w:leader="none" w:pos="0"/>
        </w:tabs>
        <w:spacing/>
        <w:ind w:hanging="360" w:left="720"/>
      </w:pPr>
      <w:rPr/>
      <w:start w:val="1"/>
      <w:suff w:val="tab"/>
    </w:lvl>
    <w:lvl w:ilvl="1">
      <w:isLgl w:val="true"/>
      <w:lvlJc w:val="left"/>
      <w:lvlText w:val="%2."/>
      <w:numFmt w:val="lowerLetter"/>
      <w:pPr>
        <w:pBdr/>
        <w:tabs>
          <w:tab w:val="num" w:leader="none" w:pos="0"/>
        </w:tabs>
        <w:spacing/>
        <w:ind w:hanging="360" w:left="1440"/>
      </w:pPr>
      <w:rPr/>
      <w:start w:val="1"/>
      <w:suff w:val="tab"/>
    </w:lvl>
    <w:lvl w:ilvl="2">
      <w:isLgl w:val="true"/>
      <w:lvlJc w:val="left"/>
      <w:lvlText w:val="%3."/>
      <w:numFmt w:val="lowerLetter"/>
      <w:pPr>
        <w:pBdr/>
        <w:tabs>
          <w:tab w:val="num" w:leader="none" w:pos="0"/>
        </w:tabs>
        <w:spacing/>
        <w:ind w:hanging="360" w:left="2160"/>
      </w:pPr>
      <w:rPr/>
      <w:start w:val="1"/>
      <w:suff w:val="tab"/>
    </w:lvl>
    <w:lvl w:ilvl="3">
      <w:isLgl w:val="true"/>
      <w:lvlJc w:val="left"/>
      <w:lvlText w:val="%4."/>
      <w:numFmt w:val="lowerLetter"/>
      <w:pPr>
        <w:pBdr/>
        <w:tabs>
          <w:tab w:val="num" w:leader="none" w:pos="0"/>
        </w:tabs>
        <w:spacing/>
        <w:ind w:hanging="360" w:left="2880"/>
      </w:pPr>
      <w:rPr/>
      <w:start w:val="1"/>
      <w:suff w:val="tab"/>
    </w:lvl>
    <w:lvl w:ilvl="4">
      <w:isLgl w:val="true"/>
      <w:lvlJc w:val="left"/>
      <w:lvlText w:val="%5."/>
      <w:numFmt w:val="lowerLetter"/>
      <w:pPr>
        <w:pBdr/>
        <w:tabs>
          <w:tab w:val="num" w:leader="none" w:pos="0"/>
        </w:tabs>
        <w:spacing/>
        <w:ind w:hanging="360" w:left="3600"/>
      </w:pPr>
      <w:rPr/>
      <w:start w:val="1"/>
      <w:suff w:val="tab"/>
    </w:lvl>
    <w:lvl w:ilvl="5">
      <w:isLgl w:val="true"/>
      <w:lvlJc w:val="left"/>
      <w:lvlText w:val="%6."/>
      <w:numFmt w:val="lowerLetter"/>
      <w:pPr>
        <w:pBdr/>
        <w:tabs>
          <w:tab w:val="num" w:leader="none" w:pos="0"/>
        </w:tabs>
        <w:spacing/>
        <w:ind w:hanging="360" w:left="4320"/>
      </w:pPr>
      <w:rPr/>
      <w:start w:val="1"/>
      <w:suff w:val="tab"/>
    </w:lvl>
    <w:lvl w:ilvl="6">
      <w:isLgl w:val="true"/>
      <w:lvlJc w:val="left"/>
      <w:lvlText w:val="%7."/>
      <w:numFmt w:val="lowerLetter"/>
      <w:pPr>
        <w:pBdr/>
        <w:tabs>
          <w:tab w:val="num" w:leader="none" w:pos="0"/>
        </w:tabs>
        <w:spacing/>
        <w:ind w:hanging="360" w:left="5040"/>
      </w:pPr>
      <w:rPr/>
      <w:start w:val="1"/>
      <w:suff w:val="tab"/>
    </w:lvl>
    <w:lvl w:ilvl="7">
      <w:isLgl w:val="true"/>
      <w:lvlJc w:val="left"/>
      <w:lvlText w:val="%8."/>
      <w:numFmt w:val="lowerLetter"/>
      <w:pPr>
        <w:pBdr/>
        <w:tabs>
          <w:tab w:val="num" w:leader="none" w:pos="0"/>
        </w:tabs>
        <w:spacing/>
        <w:ind w:hanging="360" w:left="5760"/>
      </w:pPr>
      <w:rPr/>
      <w:start w:val="1"/>
      <w:suff w:val="tab"/>
    </w:lvl>
    <w:lvl w:ilvl="8">
      <w:isLgl w:val="true"/>
      <w:lvlJc w:val="left"/>
      <w:lvlText w:val="%9."/>
      <w:numFmt w:val="lowerLetter"/>
      <w:pPr>
        <w:pBdr/>
        <w:tabs>
          <w:tab w:val="num" w:leader="none" w:pos="0"/>
        </w:tabs>
        <w:spacing/>
        <w:ind w:hanging="360" w:left="6480"/>
      </w:pPr>
      <w:rPr/>
      <w:start w:val="1"/>
      <w:suff w:val="tab"/>
    </w:lvl>
  </w:abstractNum>
  <w:abstractNum w:abstractNumId="2">
    <w:lvl w:ilvl="0">
      <w:isLgl w:val="true"/>
      <w:lvlJc w:val="left"/>
      <w:lvlText w:val=""/>
      <w:numFmt w:val="bullet"/>
      <w:pPr>
        <w:pBdr/>
        <w:tabs>
          <w:tab w:val="num" w:leader="none" w:pos="0"/>
        </w:tabs>
        <w:spacing/>
        <w:ind w:hanging="360" w:left="720"/>
      </w:pPr>
      <w:rPr>
        <w:rFonts w:hint="default" w:ascii="Symbol" w:hAnsi="Symbol" w:cs="Symbol"/>
      </w:rPr>
      <w:start w:val="0"/>
      <w:suff w:val="tab"/>
    </w:lvl>
    <w:lvl w:ilvl="1">
      <w:isLgl w:val="true"/>
      <w:lvlJc w:val="left"/>
      <w:lvlText w:val="o"/>
      <w:numFmt w:val="bullet"/>
      <w:pPr>
        <w:pBdr/>
        <w:tabs>
          <w:tab w:val="num" w:leader="none" w:pos="0"/>
        </w:tabs>
        <w:spacing/>
        <w:ind w:hanging="360" w:left="1440"/>
      </w:pPr>
      <w:rPr>
        <w:rFonts w:hint="default" w:ascii="Courier New" w:hAnsi="Courier New" w:cs="Courier New"/>
      </w:rPr>
      <w:start w:val="0"/>
      <w:suff w:val="tab"/>
    </w:lvl>
    <w:lvl w:ilvl="2">
      <w:isLgl w:val="true"/>
      <w:lvlJc w:val="left"/>
      <w:lvlText w:val=""/>
      <w:numFmt w:val="bullet"/>
      <w:pPr>
        <w:pBdr/>
        <w:tabs>
          <w:tab w:val="num" w:leader="none" w:pos="0"/>
        </w:tabs>
        <w:spacing/>
        <w:ind w:hanging="360" w:left="2160"/>
      </w:pPr>
      <w:rPr>
        <w:rFonts w:hint="default" w:ascii="Wingdings" w:hAnsi="Wingdings" w:cs="Wingdings"/>
      </w:rPr>
      <w:start w:val="0"/>
      <w:suff w:val="tab"/>
    </w:lvl>
    <w:lvl w:ilvl="3">
      <w:isLgl w:val="true"/>
      <w:lvlJc w:val="left"/>
      <w:lvlText w:val=""/>
      <w:numFmt w:val="bullet"/>
      <w:pPr>
        <w:pBdr/>
        <w:tabs>
          <w:tab w:val="num" w:leader="none" w:pos="0"/>
        </w:tabs>
        <w:spacing/>
        <w:ind w:hanging="360" w:left="2880"/>
      </w:pPr>
      <w:rPr>
        <w:rFonts w:hint="default" w:ascii="Symbol" w:hAnsi="Symbol" w:cs="Symbol"/>
      </w:rPr>
      <w:start w:val="0"/>
      <w:suff w:val="tab"/>
    </w:lvl>
    <w:lvl w:ilvl="4">
      <w:isLgl w:val="true"/>
      <w:lvlJc w:val="left"/>
      <w:lvlText w:val="o"/>
      <w:numFmt w:val="bullet"/>
      <w:pPr>
        <w:pBdr/>
        <w:tabs>
          <w:tab w:val="num" w:leader="none" w:pos="0"/>
        </w:tabs>
        <w:spacing/>
        <w:ind w:hanging="360" w:left="3600"/>
      </w:pPr>
      <w:rPr>
        <w:rFonts w:hint="default" w:ascii="Courier New" w:hAnsi="Courier New" w:cs="Courier New"/>
      </w:rPr>
      <w:start w:val="0"/>
      <w:suff w:val="tab"/>
    </w:lvl>
    <w:lvl w:ilvl="5">
      <w:isLgl w:val="true"/>
      <w:lvlJc w:val="left"/>
      <w:lvlText w:val=""/>
      <w:numFmt w:val="bullet"/>
      <w:pPr>
        <w:pBdr/>
        <w:tabs>
          <w:tab w:val="num" w:leader="none" w:pos="0"/>
        </w:tabs>
        <w:spacing/>
        <w:ind w:hanging="360" w:left="4320"/>
      </w:pPr>
      <w:rPr>
        <w:rFonts w:hint="default" w:ascii="Wingdings" w:hAnsi="Wingdings" w:cs="Wingdings"/>
      </w:rPr>
      <w:start w:val="0"/>
      <w:suff w:val="tab"/>
    </w:lvl>
    <w:lvl w:ilvl="6">
      <w:isLgl w:val="true"/>
      <w:lvlJc w:val="left"/>
      <w:lvlText w:val=""/>
      <w:numFmt w:val="bullet"/>
      <w:pPr>
        <w:pBdr/>
        <w:tabs>
          <w:tab w:val="num" w:leader="none" w:pos="0"/>
        </w:tabs>
        <w:spacing/>
        <w:ind w:hanging="360" w:left="5040"/>
      </w:pPr>
      <w:rPr>
        <w:rFonts w:hint="default" w:ascii="Symbol" w:hAnsi="Symbol" w:cs="Symbol"/>
      </w:rPr>
      <w:start w:val="0"/>
      <w:suff w:val="tab"/>
    </w:lvl>
    <w:lvl w:ilvl="7">
      <w:isLgl w:val="true"/>
      <w:lvlJc w:val="left"/>
      <w:lvlText w:val="o"/>
      <w:numFmt w:val="bullet"/>
      <w:pPr>
        <w:pBdr/>
        <w:tabs>
          <w:tab w:val="num" w:leader="none" w:pos="0"/>
        </w:tabs>
        <w:spacing/>
        <w:ind w:hanging="360" w:left="5760"/>
      </w:pPr>
      <w:rPr>
        <w:rFonts w:hint="default" w:ascii="Courier New" w:hAnsi="Courier New" w:cs="Courier New"/>
      </w:rPr>
      <w:start w:val="0"/>
      <w:suff w:val="tab"/>
    </w:lvl>
    <w:lvl w:ilvl="8">
      <w:isLgl w:val="true"/>
      <w:lvlJc w:val="left"/>
      <w:lvlText w:val=""/>
      <w:numFmt w:val="bullet"/>
      <w:pPr>
        <w:pBdr/>
        <w:tabs>
          <w:tab w:val="num" w:leader="none" w:pos="0"/>
        </w:tabs>
        <w:spacing/>
        <w:ind w:hanging="360" w:left="6480"/>
      </w:pPr>
      <w:rPr>
        <w:rFonts w:hint="default" w:ascii="Wingdings" w:hAnsi="Wingdings" w:cs="Wingdings"/>
      </w:rPr>
      <w:start w:val="0"/>
      <w:suff w:val="tab"/>
    </w:lvl>
  </w:abstractNum>
  <w:abstractNum w:abstractNumId="3">
    <w:lvl w:ilvl="0">
      <w:isLgl w:val="true"/>
      <w:lvlJc w:val="left"/>
      <w:lvlText w:val="%1."/>
      <w:numFmt w:val="decimal"/>
      <w:pPr>
        <w:pBdr/>
        <w:tabs>
          <w:tab w:val="num" w:leader="none" w:pos="0"/>
        </w:tabs>
        <w:spacing/>
        <w:ind w:hanging="360" w:left="720"/>
      </w:pPr>
      <w:rPr/>
      <w:start w:val="1"/>
      <w:suff w:val="tab"/>
    </w:lvl>
    <w:lvl w:ilvl="1">
      <w:isLgl w:val="true"/>
      <w:lvlJc w:val="left"/>
      <w:lvlText w:val="%2."/>
      <w:numFmt w:val="decimal"/>
      <w:pPr>
        <w:pBdr/>
        <w:tabs>
          <w:tab w:val="num" w:leader="none" w:pos="0"/>
        </w:tabs>
        <w:spacing/>
        <w:ind w:hanging="360" w:left="1440"/>
      </w:pPr>
      <w:rPr/>
      <w:start w:val="1"/>
      <w:suff w:val="tab"/>
    </w:lvl>
    <w:lvl w:ilvl="2">
      <w:isLgl w:val="true"/>
      <w:lvlJc w:val="left"/>
      <w:lvlText w:val="%3."/>
      <w:numFmt w:val="decimal"/>
      <w:pPr>
        <w:pBdr/>
        <w:tabs>
          <w:tab w:val="num" w:leader="none" w:pos="0"/>
        </w:tabs>
        <w:spacing/>
        <w:ind w:hanging="360" w:left="2160"/>
      </w:pPr>
      <w:rPr/>
      <w:start w:val="1"/>
      <w:suff w:val="tab"/>
    </w:lvl>
    <w:lvl w:ilvl="3">
      <w:isLgl w:val="true"/>
      <w:lvlJc w:val="left"/>
      <w:lvlText w:val="%4."/>
      <w:numFmt w:val="decimal"/>
      <w:pPr>
        <w:pBdr/>
        <w:tabs>
          <w:tab w:val="num" w:leader="none" w:pos="0"/>
        </w:tabs>
        <w:spacing/>
        <w:ind w:hanging="360" w:left="2880"/>
      </w:pPr>
      <w:rPr/>
      <w:start w:val="1"/>
      <w:suff w:val="tab"/>
    </w:lvl>
    <w:lvl w:ilvl="4">
      <w:isLgl w:val="true"/>
      <w:lvlJc w:val="left"/>
      <w:lvlText w:val="%5."/>
      <w:numFmt w:val="decimal"/>
      <w:pPr>
        <w:pBdr/>
        <w:tabs>
          <w:tab w:val="num" w:leader="none" w:pos="0"/>
        </w:tabs>
        <w:spacing/>
        <w:ind w:hanging="360" w:left="3600"/>
      </w:pPr>
      <w:rPr/>
      <w:start w:val="1"/>
      <w:suff w:val="tab"/>
    </w:lvl>
    <w:lvl w:ilvl="5">
      <w:isLgl w:val="true"/>
      <w:lvlJc w:val="left"/>
      <w:lvlText w:val="%6."/>
      <w:numFmt w:val="decimal"/>
      <w:pPr>
        <w:pBdr/>
        <w:tabs>
          <w:tab w:val="num" w:leader="none" w:pos="0"/>
        </w:tabs>
        <w:spacing/>
        <w:ind w:hanging="360" w:left="4320"/>
      </w:pPr>
      <w:rPr/>
      <w:start w:val="1"/>
      <w:suff w:val="tab"/>
    </w:lvl>
    <w:lvl w:ilvl="6">
      <w:isLgl w:val="true"/>
      <w:lvlJc w:val="left"/>
      <w:lvlText w:val="%7."/>
      <w:numFmt w:val="decimal"/>
      <w:pPr>
        <w:pBdr/>
        <w:tabs>
          <w:tab w:val="num" w:leader="none" w:pos="0"/>
        </w:tabs>
        <w:spacing/>
        <w:ind w:hanging="360" w:left="5040"/>
      </w:pPr>
      <w:rPr/>
      <w:start w:val="1"/>
      <w:suff w:val="tab"/>
    </w:lvl>
    <w:lvl w:ilvl="7">
      <w:isLgl w:val="true"/>
      <w:lvlJc w:val="left"/>
      <w:lvlText w:val="%8."/>
      <w:numFmt w:val="decimal"/>
      <w:pPr>
        <w:pBdr/>
        <w:tabs>
          <w:tab w:val="num" w:leader="none" w:pos="0"/>
        </w:tabs>
        <w:spacing/>
        <w:ind w:hanging="360" w:left="5760"/>
      </w:pPr>
      <w:rPr/>
      <w:start w:val="1"/>
      <w:suff w:val="tab"/>
    </w:lvl>
    <w:lvl w:ilvl="8">
      <w:isLgl w:val="true"/>
      <w:lvlJc w:val="left"/>
      <w:lvlText w:val="%9."/>
      <w:numFmt w:val="decimal"/>
      <w:pPr>
        <w:pBdr/>
        <w:tabs>
          <w:tab w:val="num" w:leader="none" w:pos="0"/>
        </w:tabs>
        <w:spacing/>
        <w:ind w:hanging="360" w:left="6480"/>
      </w:pPr>
      <w:rPr/>
      <w:start w:val="1"/>
      <w:suff w:val="tab"/>
    </w:lvl>
  </w:abstractNum>
  <w:abstractNum w:abstractNumId="4">
    <w:lvl w:ilvl="0">
      <w:isLgl w:val="true"/>
      <w:lvlJc w:val="left"/>
      <w:lvlText w:val="%1."/>
      <w:numFmt w:val="lowerLetter"/>
      <w:pPr>
        <w:pBdr/>
        <w:tabs>
          <w:tab w:val="num" w:leader="none" w:pos="0"/>
        </w:tabs>
        <w:spacing/>
        <w:ind w:hanging="360" w:left="720"/>
      </w:pPr>
      <w:rPr/>
      <w:start w:val="1"/>
      <w:suff w:val="tab"/>
    </w:lvl>
    <w:lvl w:ilvl="1">
      <w:isLgl w:val="true"/>
      <w:lvlJc w:val="left"/>
      <w:lvlText w:val="%2."/>
      <w:numFmt w:val="lowerLetter"/>
      <w:pPr>
        <w:pBdr/>
        <w:tabs>
          <w:tab w:val="num" w:leader="none" w:pos="0"/>
        </w:tabs>
        <w:spacing/>
        <w:ind w:hanging="360" w:left="1440"/>
      </w:pPr>
      <w:rPr/>
      <w:start w:val="1"/>
      <w:suff w:val="tab"/>
    </w:lvl>
    <w:lvl w:ilvl="2">
      <w:isLgl w:val="true"/>
      <w:lvlJc w:val="left"/>
      <w:lvlText w:val="%3."/>
      <w:numFmt w:val="lowerLetter"/>
      <w:pPr>
        <w:pBdr/>
        <w:tabs>
          <w:tab w:val="num" w:leader="none" w:pos="0"/>
        </w:tabs>
        <w:spacing/>
        <w:ind w:hanging="360" w:left="2160"/>
      </w:pPr>
      <w:rPr/>
      <w:start w:val="1"/>
      <w:suff w:val="tab"/>
    </w:lvl>
    <w:lvl w:ilvl="3">
      <w:isLgl w:val="true"/>
      <w:lvlJc w:val="left"/>
      <w:lvlText w:val="%4."/>
      <w:numFmt w:val="lowerLetter"/>
      <w:pPr>
        <w:pBdr/>
        <w:tabs>
          <w:tab w:val="num" w:leader="none" w:pos="0"/>
        </w:tabs>
        <w:spacing/>
        <w:ind w:hanging="360" w:left="2880"/>
      </w:pPr>
      <w:rPr/>
      <w:start w:val="1"/>
      <w:suff w:val="tab"/>
    </w:lvl>
    <w:lvl w:ilvl="4">
      <w:isLgl w:val="true"/>
      <w:lvlJc w:val="left"/>
      <w:lvlText w:val="%5."/>
      <w:numFmt w:val="lowerLetter"/>
      <w:pPr>
        <w:pBdr/>
        <w:tabs>
          <w:tab w:val="num" w:leader="none" w:pos="0"/>
        </w:tabs>
        <w:spacing/>
        <w:ind w:hanging="360" w:left="3600"/>
      </w:pPr>
      <w:rPr/>
      <w:start w:val="1"/>
      <w:suff w:val="tab"/>
    </w:lvl>
    <w:lvl w:ilvl="5">
      <w:isLgl w:val="true"/>
      <w:lvlJc w:val="left"/>
      <w:lvlText w:val="%6."/>
      <w:numFmt w:val="lowerLetter"/>
      <w:pPr>
        <w:pBdr/>
        <w:tabs>
          <w:tab w:val="num" w:leader="none" w:pos="0"/>
        </w:tabs>
        <w:spacing/>
        <w:ind w:hanging="360" w:left="4320"/>
      </w:pPr>
      <w:rPr/>
      <w:start w:val="1"/>
      <w:suff w:val="tab"/>
    </w:lvl>
    <w:lvl w:ilvl="6">
      <w:isLgl w:val="true"/>
      <w:lvlJc w:val="left"/>
      <w:lvlText w:val="%7."/>
      <w:numFmt w:val="lowerLetter"/>
      <w:pPr>
        <w:pBdr/>
        <w:tabs>
          <w:tab w:val="num" w:leader="none" w:pos="0"/>
        </w:tabs>
        <w:spacing/>
        <w:ind w:hanging="360" w:left="5040"/>
      </w:pPr>
      <w:rPr/>
      <w:start w:val="1"/>
      <w:suff w:val="tab"/>
    </w:lvl>
    <w:lvl w:ilvl="7">
      <w:isLgl w:val="true"/>
      <w:lvlJc w:val="left"/>
      <w:lvlText w:val="%8."/>
      <w:numFmt w:val="lowerLetter"/>
      <w:pPr>
        <w:pBdr/>
        <w:tabs>
          <w:tab w:val="num" w:leader="none" w:pos="0"/>
        </w:tabs>
        <w:spacing/>
        <w:ind w:hanging="360" w:left="5760"/>
      </w:pPr>
      <w:rPr/>
      <w:start w:val="1"/>
      <w:suff w:val="tab"/>
    </w:lvl>
    <w:lvl w:ilvl="8">
      <w:isLgl w:val="true"/>
      <w:lvlJc w:val="left"/>
      <w:lvlText w:val="%9."/>
      <w:numFmt w:val="lowerLetter"/>
      <w:pPr>
        <w:pBdr/>
        <w:tabs>
          <w:tab w:val="num" w:leader="none" w:pos="0"/>
        </w:tabs>
        <w:spacing/>
        <w:ind w:hanging="360" w:left="6480"/>
      </w:pPr>
      <w:rPr/>
      <w:start w:val="1"/>
      <w:suff w:val="tab"/>
    </w:lvl>
  </w:abstractNum>
  <w:abstractNum w:abstractNumId="5">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6">
    <w:lvl w:ilvl="0">
      <w:isLgl w:val="false"/>
      <w:lvlJc w:val="left"/>
      <w:lvlText w:val=" "/>
      <w:numFmt w:val="bullet"/>
      <w:pPr>
        <w:pBdr/>
        <w:spacing/>
        <w:ind w:hanging="360" w:left="720"/>
      </w:pPr>
      <w:rPr/>
      <w:start w:val="0"/>
      <w:suff w:val="tab"/>
    </w:lvl>
    <w:lvl w:ilvl="1">
      <w:isLgl w:val="false"/>
      <w:lvlJc w:val="left"/>
      <w:lvlText w:val=" "/>
      <w:numFmt w:val="bullet"/>
      <w:pPr>
        <w:pBdr/>
        <w:spacing/>
        <w:ind w:hanging="360" w:left="1440"/>
      </w:pPr>
      <w:rPr/>
      <w:start w:val="0"/>
      <w:suff w:val="tab"/>
    </w:lvl>
    <w:lvl w:ilvl="2">
      <w:isLgl w:val="false"/>
      <w:lvlJc w:val="left"/>
      <w:lvlText w:val=" "/>
      <w:numFmt w:val="bullet"/>
      <w:pPr>
        <w:pBdr/>
        <w:spacing/>
        <w:ind w:hanging="360" w:left="2160"/>
      </w:pPr>
      <w:rPr/>
      <w:start w:val="0"/>
      <w:suff w:val="tab"/>
    </w:lvl>
    <w:lvl w:ilvl="3">
      <w:isLgl w:val="false"/>
      <w:lvlJc w:val="left"/>
      <w:lvlText w:val=" "/>
      <w:numFmt w:val="bullet"/>
      <w:pPr>
        <w:pBdr/>
        <w:spacing/>
        <w:ind w:hanging="360" w:left="2880"/>
      </w:pPr>
      <w:rPr/>
      <w:start w:val="0"/>
      <w:suff w:val="tab"/>
    </w:lvl>
    <w:lvl w:ilvl="4">
      <w:isLgl w:val="false"/>
      <w:lvlJc w:val="left"/>
      <w:lvlText w:val=" "/>
      <w:numFmt w:val="bullet"/>
      <w:pPr>
        <w:pBdr/>
        <w:spacing/>
        <w:ind w:hanging="360" w:left="3600"/>
      </w:pPr>
      <w:rPr/>
      <w:start w:val="0"/>
      <w:suff w:val="tab"/>
    </w:lvl>
    <w:lvl w:ilvl="5">
      <w:isLgl w:val="false"/>
      <w:lvlJc w:val="left"/>
      <w:lvlText w:val=" "/>
      <w:numFmt w:val="bullet"/>
      <w:pPr>
        <w:pBdr/>
        <w:spacing/>
        <w:ind w:hanging="360" w:left="4320"/>
      </w:pPr>
      <w:rPr/>
      <w:start w:val="0"/>
      <w:suff w:val="tab"/>
    </w:lvl>
    <w:lvl w:ilvl="6">
      <w:isLgl w:val="false"/>
      <w:lvlJc w:val="left"/>
      <w:lvlText w:val=" "/>
      <w:numFmt w:val="bullet"/>
      <w:pPr>
        <w:pBdr/>
        <w:spacing/>
        <w:ind w:hanging="360" w:left="5040"/>
      </w:pPr>
      <w:rPr/>
      <w:start w:val="0"/>
      <w:suff w:val="tab"/>
    </w:lvl>
    <w:lvl w:ilvl="7">
      <w:isLgl w:val="false"/>
      <w:lvlJc w:val="left"/>
      <w:lvlText w:val=" "/>
      <w:numFmt w:val="bullet"/>
      <w:pPr>
        <w:pBdr/>
        <w:spacing/>
        <w:ind w:hanging="360" w:left="5760"/>
      </w:pPr>
      <w:rPr/>
      <w:start w:val="0"/>
      <w:suff w:val="tab"/>
    </w:lvl>
    <w:lvl w:ilvl="8">
      <w:isLgl w:val="false"/>
      <w:lvlJc w:val="left"/>
      <w:lvlText w:val=" "/>
      <w:numFmt w:val="bullet"/>
      <w:pPr>
        <w:pBdr/>
        <w:spacing/>
        <w:ind w:hanging="360" w:left="6480"/>
      </w:pPr>
      <w:rPr/>
      <w:start w:val="0"/>
      <w:suff w:val="tab"/>
    </w:lvl>
  </w:abstractNum>
  <w:abstractNum w:abstractNumId="7">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left"/>
      <w:lvlText w:val="%3."/>
      <w:numFmt w:val="lowerLetter"/>
      <w:pPr>
        <w:pBdr/>
        <w:spacing/>
        <w:ind w:hanging="360" w:left="2160"/>
      </w:pPr>
      <w:rPr/>
      <w:start w:val="1"/>
      <w:suff w:val="tab"/>
    </w:lvl>
    <w:lvl w:ilvl="3">
      <w:isLgl w:val="false"/>
      <w:lvlJc w:val="left"/>
      <w:lvlText w:val="%4."/>
      <w:numFmt w:val="lowerLetter"/>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left"/>
      <w:lvlText w:val="%6."/>
      <w:numFmt w:val="lowerLetter"/>
      <w:pPr>
        <w:pBdr/>
        <w:spacing/>
        <w:ind w:hanging="360" w:left="4320"/>
      </w:pPr>
      <w:rPr/>
      <w:start w:val="1"/>
      <w:suff w:val="tab"/>
    </w:lvl>
    <w:lvl w:ilvl="6">
      <w:isLgl w:val="false"/>
      <w:lvlJc w:val="left"/>
      <w:lvlText w:val="%7."/>
      <w:numFmt w:val="lowerLetter"/>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left"/>
      <w:lvlText w:val="%9."/>
      <w:numFmt w:val="lowerLetter"/>
      <w:pPr>
        <w:pBdr/>
        <w:spacing/>
        <w:ind w:hanging="360" w:left="6480"/>
      </w:pPr>
      <w:rPr/>
      <w:start w:val="1"/>
      <w:suff w:val="tab"/>
    </w:lvl>
  </w:abstractNum>
  <w:abstractNum w:abstractNumId="9">
    <w:lvl w:ilvl="0">
      <w:isLgl w:val="false"/>
      <w:lvlJc w:val="left"/>
      <w:lvlText w:val=""/>
      <w:numFmt w:val="bullet"/>
      <w:pPr>
        <w:pBdr/>
        <w:spacing/>
        <w:ind w:hanging="360" w:left="720"/>
      </w:pPr>
      <w:rPr>
        <w:rFonts w:hint="default" w:ascii="Symbol" w:hAnsi="Symbol" w:cs="Symbol"/>
      </w:rPr>
      <w:start w:val="0"/>
      <w:suff w:val="tab"/>
    </w:lvl>
    <w:lvl w:ilvl="1">
      <w:isLgl w:val="false"/>
      <w:lvlJc w:val="left"/>
      <w:lvlText w:val="o"/>
      <w:numFmt w:val="bullet"/>
      <w:pPr>
        <w:pBdr/>
        <w:spacing/>
        <w:ind w:hanging="360" w:left="1440"/>
      </w:pPr>
      <w:rPr>
        <w:rFonts w:hint="default" w:ascii="Courier New" w:hAnsi="Courier New" w:cs="Courier New"/>
      </w:rPr>
      <w:start w:val="0"/>
      <w:suff w:val="tab"/>
    </w:lvl>
    <w:lvl w:ilvl="2">
      <w:isLgl w:val="false"/>
      <w:lvlJc w:val="left"/>
      <w:lvlText w:val=""/>
      <w:numFmt w:val="bullet"/>
      <w:pPr>
        <w:pBdr/>
        <w:spacing/>
        <w:ind w:hanging="360" w:left="2160"/>
      </w:pPr>
      <w:rPr>
        <w:rFonts w:hint="default" w:ascii="Wingdings" w:hAnsi="Wingdings" w:cs="Wingdings"/>
      </w:rPr>
      <w:start w:val="0"/>
      <w:suff w:val="tab"/>
    </w:lvl>
    <w:lvl w:ilvl="3">
      <w:isLgl w:val="false"/>
      <w:lvlJc w:val="left"/>
      <w:lvlText w:val=""/>
      <w:numFmt w:val="bullet"/>
      <w:pPr>
        <w:pBdr/>
        <w:spacing/>
        <w:ind w:hanging="360" w:left="2880"/>
      </w:pPr>
      <w:rPr>
        <w:rFonts w:hint="default" w:ascii="Symbol" w:hAnsi="Symbol" w:cs="Symbol"/>
      </w:rPr>
      <w:start w:val="0"/>
      <w:suff w:val="tab"/>
    </w:lvl>
    <w:lvl w:ilvl="4">
      <w:isLgl w:val="false"/>
      <w:lvlJc w:val="left"/>
      <w:lvlText w:val="o"/>
      <w:numFmt w:val="bullet"/>
      <w:pPr>
        <w:pBdr/>
        <w:spacing/>
        <w:ind w:hanging="360" w:left="3600"/>
      </w:pPr>
      <w:rPr>
        <w:rFonts w:hint="default" w:ascii="Courier New" w:hAnsi="Courier New" w:cs="Courier New"/>
      </w:rPr>
      <w:start w:val="0"/>
      <w:suff w:val="tab"/>
    </w:lvl>
    <w:lvl w:ilvl="5">
      <w:isLgl w:val="false"/>
      <w:lvlJc w:val="left"/>
      <w:lvlText w:val=""/>
      <w:numFmt w:val="bullet"/>
      <w:pPr>
        <w:pBdr/>
        <w:spacing/>
        <w:ind w:hanging="360" w:left="4320"/>
      </w:pPr>
      <w:rPr>
        <w:rFonts w:hint="default" w:ascii="Wingdings" w:hAnsi="Wingdings" w:cs="Wingdings"/>
      </w:rPr>
      <w:start w:val="0"/>
      <w:suff w:val="tab"/>
    </w:lvl>
    <w:lvl w:ilvl="6">
      <w:isLgl w:val="false"/>
      <w:lvlJc w:val="left"/>
      <w:lvlText w:val=""/>
      <w:numFmt w:val="bullet"/>
      <w:pPr>
        <w:pBdr/>
        <w:spacing/>
        <w:ind w:hanging="360" w:left="5040"/>
      </w:pPr>
      <w:rPr>
        <w:rFonts w:hint="default" w:ascii="Symbol" w:hAnsi="Symbol" w:cs="Symbol"/>
      </w:rPr>
      <w:start w:val="0"/>
      <w:suff w:val="tab"/>
    </w:lvl>
    <w:lvl w:ilvl="7">
      <w:isLgl w:val="false"/>
      <w:lvlJc w:val="left"/>
      <w:lvlText w:val="o"/>
      <w:numFmt w:val="bullet"/>
      <w:pPr>
        <w:pBdr/>
        <w:spacing/>
        <w:ind w:hanging="360" w:left="5760"/>
      </w:pPr>
      <w:rPr>
        <w:rFonts w:hint="default" w:ascii="Courier New" w:hAnsi="Courier New" w:cs="Courier New"/>
      </w:rPr>
      <w:start w:val="0"/>
      <w:suff w:val="tab"/>
    </w:lvl>
    <w:lvl w:ilvl="8">
      <w:isLgl w:val="false"/>
      <w:lvlJc w:val="left"/>
      <w:lvlText w:val=""/>
      <w:numFmt w:val="bullet"/>
      <w:pPr>
        <w:pBdr/>
        <w:spacing/>
        <w:ind w:hanging="360" w:left="6480"/>
      </w:pPr>
      <w:rPr>
        <w:rFonts w:hint="default" w:ascii="Wingdings" w:hAnsi="Wingdings" w:cs="Wingdings"/>
      </w:rPr>
      <w:start w:val="0"/>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3"/>
    <w:lvlOverride w:ilvl="0">
      <w:startOverride w:val="1"/>
    </w:lvlOverride>
  </w:num>
  <w:num w:numId="8">
    <w:abstractNumId w:val="3"/>
  </w:num>
  <w:num w:numId="9">
    <w:abstractNumId w:val="3"/>
  </w:num>
  <w:num w:numId="10">
    <w:abstractNumId w:val="4"/>
    <w:lvlOverride w:ilvl="0">
      <w:startOverride w:val="1"/>
    </w:lvlOverride>
  </w:num>
  <w:num w:numId="11">
    <w:abstractNumId w:val="4"/>
  </w:num>
  <w:num w:numId="12">
    <w:abstractNumId w:val="4"/>
  </w:num>
  <w:num w:numId="13">
    <w:abstractNumId w:val="4"/>
  </w:num>
  <w:num w:numId="14">
    <w:abstractNumId w:val="6"/>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CA"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6" w:default="1">
    <w:name w:val="Normal"/>
    <w:qFormat/>
    <w:pPr>
      <w:widowControl w:val="true"/>
      <w:pBdr/>
      <w:bidi w:val="false"/>
      <w:spacing w:after="0" w:afterAutospacing="0" w:before="0" w:beforeAutospacing="0" w:line="360" w:lineRule="auto"/>
      <w:ind/>
      <w:jc w:val="both"/>
    </w:pPr>
    <w:rPr>
      <w:rFonts w:ascii="Times New Roman" w:hAnsi="Times New Roman" w:eastAsia="Times New Roman" w:cs="Times New Roman"/>
      <w:color w:val="auto"/>
      <w:sz w:val="20"/>
      <w:szCs w:val="20"/>
      <w:lang w:val="en-CA" w:eastAsia="en-US" w:bidi="ar-SA"/>
    </w:rPr>
  </w:style>
  <w:style w:type="paragraph" w:styleId="707">
    <w:name w:val="Heading 1"/>
    <w:basedOn w:val="706"/>
    <w:next w:val="783"/>
    <w:link w:val="734"/>
    <w:uiPriority w:val="9"/>
    <w:qFormat/>
    <w:pPr>
      <w:keepNext w:val="true"/>
      <w:keepLines w:val="true"/>
      <w:pBdr/>
      <w:spacing w:after="238" w:before="482" w:line="240" w:lineRule="auto"/>
      <w:ind/>
      <w:jc w:val="both"/>
      <w:outlineLvl w:val="0"/>
    </w:pPr>
    <w:rPr>
      <w:rFonts w:ascii="Times New Roman" w:hAnsi="Times New Roman" w:eastAsia="Times New Roman" w:cs="Times New Roman"/>
      <w:b/>
      <w:bCs/>
      <w:color w:val="000000"/>
      <w:sz w:val="24"/>
      <w:szCs w:val="24"/>
    </w:rPr>
  </w:style>
  <w:style w:type="paragraph" w:styleId="708">
    <w:name w:val="Heading 2"/>
    <w:basedOn w:val="706"/>
    <w:next w:val="783"/>
    <w:link w:val="735"/>
    <w:uiPriority w:val="9"/>
    <w:semiHidden/>
    <w:unhideWhenUsed/>
    <w:qFormat/>
    <w:pPr>
      <w:keepNext w:val="true"/>
      <w:keepLines w:val="true"/>
      <w:pBdr/>
      <w:spacing w:after="238" w:before="238" w:line="240" w:lineRule="auto"/>
      <w:ind/>
      <w:jc w:val="both"/>
      <w:outlineLvl w:val="1"/>
    </w:pPr>
    <w:rPr>
      <w:rFonts w:ascii="Times New Roman" w:hAnsi="Times New Roman" w:eastAsia="Times New Roman" w:cs="Times New Roman"/>
      <w:b/>
      <w:bCs/>
      <w:color w:val="000000"/>
      <w:sz w:val="24"/>
      <w:szCs w:val="24"/>
    </w:rPr>
  </w:style>
  <w:style w:type="paragraph" w:styleId="709">
    <w:name w:val="Heading 3"/>
    <w:basedOn w:val="706"/>
    <w:next w:val="783"/>
    <w:link w:val="736"/>
    <w:uiPriority w:val="9"/>
    <w:semiHidden/>
    <w:unhideWhenUsed/>
    <w:qFormat/>
    <w:pPr>
      <w:keepNext w:val="true"/>
      <w:keepLines w:val="true"/>
      <w:pBdr/>
      <w:spacing w:after="238" w:before="238" w:line="240" w:lineRule="auto"/>
      <w:ind/>
      <w:jc w:val="both"/>
      <w:outlineLvl w:val="2"/>
    </w:pPr>
    <w:rPr>
      <w:rFonts w:ascii="Times New Roman" w:hAnsi="Times New Roman" w:eastAsia="Times New Roman" w:cs="Times New Roman"/>
      <w:b/>
      <w:bCs/>
      <w:color w:val="000000"/>
      <w:sz w:val="24"/>
      <w:szCs w:val="24"/>
    </w:rPr>
  </w:style>
  <w:style w:type="paragraph" w:styleId="710">
    <w:name w:val="Heading 4"/>
    <w:basedOn w:val="706"/>
    <w:next w:val="783"/>
    <w:link w:val="737"/>
    <w:uiPriority w:val="9"/>
    <w:semiHidden/>
    <w:unhideWhenUsed/>
    <w:qFormat/>
    <w:pPr>
      <w:keepNext w:val="true"/>
      <w:keepLines w:val="true"/>
      <w:pBdr/>
      <w:spacing w:after="40" w:before="80"/>
      <w:ind/>
      <w:outlineLvl w:val="3"/>
    </w:pPr>
    <w:rPr>
      <w:rFonts w:ascii="Times New Roman" w:hAnsi="Times New Roman" w:eastAsia="Times New Roman" w:cs="Times New Roman"/>
      <w:i/>
      <w:iCs/>
      <w:color w:val="000000"/>
      <w:sz w:val="20"/>
      <w:szCs w:val="20"/>
    </w:rPr>
  </w:style>
  <w:style w:type="paragraph" w:styleId="711">
    <w:name w:val="Heading 5"/>
    <w:basedOn w:val="706"/>
    <w:next w:val="783"/>
    <w:link w:val="738"/>
    <w:uiPriority w:val="9"/>
    <w:semiHidden/>
    <w:unhideWhenUsed/>
    <w:qFormat/>
    <w:pPr>
      <w:keepNext w:val="true"/>
      <w:keepLines w:val="true"/>
      <w:pBdr/>
      <w:spacing w:after="40" w:before="80"/>
      <w:ind/>
      <w:outlineLvl w:val="4"/>
    </w:pPr>
    <w:rPr>
      <w:rFonts w:ascii="Times New Roman" w:hAnsi="Times New Roman" w:eastAsia="Times New Roman" w:cs="Times New Roman"/>
      <w:i/>
      <w:iCs/>
      <w:color w:val="0f4761" w:themeColor="text1"/>
      <w:sz w:val="20"/>
      <w:szCs w:val="20"/>
    </w:rPr>
  </w:style>
  <w:style w:type="paragraph" w:styleId="712">
    <w:name w:val="Heading 6"/>
    <w:basedOn w:val="706"/>
    <w:next w:val="783"/>
    <w:link w:val="739"/>
    <w:uiPriority w:val="9"/>
    <w:semiHidden/>
    <w:unhideWhenUsed/>
    <w:qFormat/>
    <w:pPr>
      <w:keepNext w:val="true"/>
      <w:keepLines w:val="true"/>
      <w:pBdr/>
      <w:spacing w:after="0" w:before="40"/>
      <w:ind/>
      <w:outlineLvl w:val="5"/>
    </w:pPr>
    <w:rPr>
      <w:rFonts w:ascii="Times New Roman" w:hAnsi="Times New Roman" w:eastAsia="Times New Roman" w:cs="Times New Roman"/>
      <w:i/>
      <w:iCs/>
      <w:color w:val="595959" w:themeColor="text1"/>
      <w:sz w:val="20"/>
      <w:szCs w:val="20"/>
    </w:rPr>
  </w:style>
  <w:style w:type="paragraph" w:styleId="713">
    <w:name w:val="Heading 7"/>
    <w:basedOn w:val="706"/>
    <w:next w:val="783"/>
    <w:link w:val="740"/>
    <w:uiPriority w:val="9"/>
    <w:semiHidden/>
    <w:unhideWhenUsed/>
    <w:qFormat/>
    <w:pPr>
      <w:keepNext w:val="true"/>
      <w:keepLines w:val="true"/>
      <w:pBdr/>
      <w:spacing w:after="0" w:before="40"/>
      <w:ind/>
      <w:outlineLvl w:val="6"/>
    </w:pPr>
    <w:rPr>
      <w:rFonts w:ascii="Times New Roman" w:hAnsi="Times New Roman" w:eastAsia="Times New Roman" w:cs="Times New Roman"/>
      <w:i/>
      <w:iCs/>
      <w:color w:val="595959" w:themeColor="text1"/>
      <w:sz w:val="20"/>
      <w:szCs w:val="20"/>
    </w:rPr>
  </w:style>
  <w:style w:type="paragraph" w:styleId="714">
    <w:name w:val="Heading 8"/>
    <w:basedOn w:val="706"/>
    <w:next w:val="783"/>
    <w:link w:val="741"/>
    <w:uiPriority w:val="9"/>
    <w:semiHidden/>
    <w:unhideWhenUsed/>
    <w:qFormat/>
    <w:pPr>
      <w:keepNext w:val="true"/>
      <w:keepLines w:val="true"/>
      <w:pBdr/>
      <w:spacing w:after="0" w:before="0"/>
      <w:ind/>
      <w:outlineLvl w:val="7"/>
    </w:pPr>
    <w:rPr>
      <w:rFonts w:ascii="Times New Roman" w:hAnsi="Times New Roman" w:eastAsia="Times New Roman" w:cs="Times New Roman"/>
      <w:i/>
      <w:iCs/>
      <w:color w:val="272727" w:themeColor="text1"/>
      <w:sz w:val="20"/>
      <w:szCs w:val="20"/>
    </w:rPr>
  </w:style>
  <w:style w:type="paragraph" w:styleId="715">
    <w:name w:val="Heading 9"/>
    <w:basedOn w:val="706"/>
    <w:next w:val="783"/>
    <w:link w:val="742"/>
    <w:uiPriority w:val="9"/>
    <w:semiHidden/>
    <w:unhideWhenUsed/>
    <w:qFormat/>
    <w:pPr>
      <w:keepNext w:val="true"/>
      <w:keepLines w:val="true"/>
      <w:pBdr/>
      <w:spacing w:after="0" w:before="0"/>
      <w:ind/>
      <w:outlineLvl w:val="8"/>
    </w:pPr>
    <w:rPr>
      <w:rFonts w:ascii="Times New Roman" w:hAnsi="Times New Roman" w:eastAsia="Times New Roman" w:cs="Times New Roman"/>
      <w:i/>
      <w:iCs/>
      <w:color w:val="272727" w:themeColor="text1"/>
      <w:sz w:val="20"/>
      <w:szCs w:val="20"/>
    </w:rPr>
  </w:style>
  <w:style w:type="character" w:styleId="716">
    <w:name w:val="Quote Char"/>
    <w:basedOn w:val="743"/>
    <w:link w:val="787"/>
    <w:uiPriority w:val="29"/>
    <w:qFormat/>
    <w:pPr>
      <w:pBdr/>
      <w:spacing/>
      <w:ind/>
    </w:pPr>
    <w:rPr>
      <w:i/>
      <w:iCs/>
      <w:color w:val="404040" w:themeColor="text1" w:themeTint="BF"/>
    </w:rPr>
  </w:style>
  <w:style w:type="character" w:styleId="717">
    <w:name w:val="Intense Emphasis"/>
    <w:basedOn w:val="743"/>
    <w:uiPriority w:val="21"/>
    <w:qFormat/>
    <w:pPr>
      <w:pBdr/>
      <w:spacing/>
      <w:ind/>
    </w:pPr>
    <w:rPr>
      <w:i/>
      <w:iCs/>
      <w:color w:val="0f4761" w:themeColor="accent1" w:themeShade="BF"/>
    </w:rPr>
  </w:style>
  <w:style w:type="character" w:styleId="718">
    <w:name w:val="Intense Quote Char"/>
    <w:basedOn w:val="743"/>
    <w:link w:val="789"/>
    <w:uiPriority w:val="30"/>
    <w:qFormat/>
    <w:pPr>
      <w:pBdr/>
      <w:spacing/>
      <w:ind/>
    </w:pPr>
    <w:rPr>
      <w:i/>
      <w:iCs/>
      <w:color w:val="0f4761" w:themeColor="accent1" w:themeShade="BF"/>
    </w:rPr>
  </w:style>
  <w:style w:type="character" w:styleId="719">
    <w:name w:val="Intense Reference"/>
    <w:basedOn w:val="743"/>
    <w:uiPriority w:val="32"/>
    <w:qFormat/>
    <w:pPr>
      <w:pBdr/>
      <w:spacing/>
      <w:ind/>
    </w:pPr>
    <w:rPr>
      <w:b/>
      <w:bCs/>
      <w:smallCaps/>
      <w:color w:val="0f4761" w:themeColor="accent1" w:themeShade="BF"/>
      <w:spacing w:val="5"/>
    </w:rPr>
  </w:style>
  <w:style w:type="character" w:styleId="720">
    <w:name w:val="Subtle Emphasis"/>
    <w:basedOn w:val="743"/>
    <w:uiPriority w:val="19"/>
    <w:qFormat/>
    <w:pPr>
      <w:pBdr/>
      <w:spacing/>
      <w:ind/>
    </w:pPr>
    <w:rPr>
      <w:i/>
      <w:iCs/>
      <w:color w:val="404040" w:themeColor="text1" w:themeTint="BF"/>
    </w:rPr>
  </w:style>
  <w:style w:type="character" w:styleId="721">
    <w:name w:val="Emphasis"/>
    <w:basedOn w:val="743"/>
    <w:uiPriority w:val="20"/>
    <w:qFormat/>
    <w:pPr>
      <w:pBdr/>
      <w:spacing/>
      <w:ind/>
    </w:pPr>
    <w:rPr>
      <w:i/>
      <w:iCs/>
    </w:rPr>
  </w:style>
  <w:style w:type="character" w:styleId="722">
    <w:name w:val="Strong"/>
    <w:basedOn w:val="743"/>
    <w:uiPriority w:val="22"/>
    <w:qFormat/>
    <w:pPr>
      <w:pBdr/>
      <w:spacing/>
      <w:ind/>
    </w:pPr>
    <w:rPr>
      <w:b/>
      <w:bCs/>
    </w:rPr>
  </w:style>
  <w:style w:type="character" w:styleId="723">
    <w:name w:val="Subtle Reference"/>
    <w:basedOn w:val="743"/>
    <w:uiPriority w:val="31"/>
    <w:qFormat/>
    <w:pPr>
      <w:pBdr/>
      <w:spacing/>
      <w:ind/>
    </w:pPr>
    <w:rPr>
      <w:smallCaps/>
      <w:color w:val="5a5a5a" w:themeColor="text1" w:themeTint="A5"/>
    </w:rPr>
  </w:style>
  <w:style w:type="character" w:styleId="724">
    <w:name w:val="Book Title"/>
    <w:basedOn w:val="743"/>
    <w:uiPriority w:val="33"/>
    <w:qFormat/>
    <w:pPr>
      <w:pBdr/>
      <w:spacing/>
      <w:ind/>
    </w:pPr>
    <w:rPr>
      <w:b/>
      <w:bCs/>
      <w:i/>
      <w:iCs/>
      <w:spacing w:val="5"/>
    </w:rPr>
  </w:style>
  <w:style w:type="character" w:styleId="725">
    <w:name w:val="Header Char"/>
    <w:basedOn w:val="743"/>
    <w:link w:val="792"/>
    <w:uiPriority w:val="99"/>
    <w:qFormat/>
    <w:pPr>
      <w:pBdr/>
      <w:spacing/>
      <w:ind/>
    </w:pPr>
  </w:style>
  <w:style w:type="character" w:styleId="726">
    <w:name w:val="Footer Char"/>
    <w:basedOn w:val="743"/>
    <w:link w:val="793"/>
    <w:uiPriority w:val="99"/>
    <w:qFormat/>
    <w:pPr>
      <w:pBdr/>
      <w:spacing/>
      <w:ind/>
    </w:pPr>
  </w:style>
  <w:style w:type="character" w:styleId="727">
    <w:name w:val="Footnote Text Char"/>
    <w:basedOn w:val="743"/>
    <w:link w:val="815"/>
    <w:uiPriority w:val="99"/>
    <w:semiHidden/>
    <w:qFormat/>
    <w:pPr>
      <w:pBdr/>
      <w:spacing/>
      <w:ind/>
    </w:pPr>
    <w:rPr>
      <w:sz w:val="20"/>
      <w:szCs w:val="20"/>
    </w:rPr>
  </w:style>
  <w:style w:type="character" w:styleId="728">
    <w:name w:val="Endnote Text Char"/>
    <w:basedOn w:val="743"/>
    <w:link w:val="794"/>
    <w:uiPriority w:val="99"/>
    <w:semiHidden/>
    <w:qFormat/>
    <w:pPr>
      <w:pBdr/>
      <w:spacing/>
      <w:ind/>
    </w:pPr>
    <w:rPr>
      <w:sz w:val="20"/>
      <w:szCs w:val="20"/>
    </w:rPr>
  </w:style>
  <w:style w:type="character" w:styleId="729">
    <w:name w:val="Endnote Characters"/>
    <w:basedOn w:val="743"/>
    <w:uiPriority w:val="99"/>
    <w:semiHidden/>
    <w:unhideWhenUsed/>
    <w:qFormat/>
    <w:pPr>
      <w:pBdr/>
      <w:spacing/>
      <w:ind/>
    </w:pPr>
    <w:rPr>
      <w:vertAlign w:val="superscript"/>
    </w:rPr>
  </w:style>
  <w:style w:type="character" w:styleId="730">
    <w:name w:val="endnote reference"/>
    <w:pPr>
      <w:pBdr/>
      <w:spacing/>
      <w:ind/>
    </w:pPr>
    <w:rPr>
      <w:vertAlign w:val="superscript"/>
    </w:rPr>
  </w:style>
  <w:style w:type="character" w:styleId="731">
    <w:name w:val="FollowedHyperlink"/>
    <w:basedOn w:val="743"/>
    <w:uiPriority w:val="99"/>
    <w:semiHidden/>
    <w:unhideWhenUsed/>
    <w:pPr>
      <w:pBdr/>
      <w:spacing/>
      <w:ind/>
    </w:pPr>
    <w:rPr>
      <w:color w:val="954f72" w:themeColor="followedHyperlink"/>
      <w:u w:val="single"/>
    </w:rPr>
  </w:style>
  <w:style w:type="character" w:styleId="732" w:customStyle="1">
    <w:name w:val="Title Char"/>
    <w:link w:val="807"/>
    <w:uiPriority w:val="10"/>
    <w:qFormat/>
    <w:pPr>
      <w:pBdr/>
      <w:spacing/>
      <w:ind/>
    </w:pPr>
  </w:style>
  <w:style w:type="character" w:styleId="733" w:customStyle="1">
    <w:name w:val="Subtitle Char"/>
    <w:basedOn w:val="743"/>
    <w:link w:val="808"/>
    <w:uiPriority w:val="11"/>
    <w:qFormat/>
    <w:pPr>
      <w:pBdr/>
      <w:spacing/>
      <w:ind/>
    </w:pPr>
    <w:rPr>
      <w:rFonts w:eastAsia="Arial" w:cs="Arial" w:eastAsiaTheme="majorEastAsia" w:cstheme="majorBidi"/>
      <w:color w:val="595959" w:themeColor="text1" w:themeTint="A6"/>
      <w:spacing w:val="15"/>
      <w:sz w:val="28"/>
      <w:szCs w:val="28"/>
    </w:rPr>
  </w:style>
  <w:style w:type="character" w:styleId="734" w:customStyle="1">
    <w:name w:val="Heading 1 Char"/>
    <w:link w:val="707"/>
    <w:uiPriority w:val="9"/>
    <w:qFormat/>
    <w:pPr>
      <w:pBdr/>
      <w:spacing/>
      <w:ind/>
    </w:pPr>
    <w:rPr>
      <w:sz w:val="24"/>
      <w:szCs w:val="24"/>
    </w:rPr>
  </w:style>
  <w:style w:type="character" w:styleId="735" w:customStyle="1">
    <w:name w:val="Heading 2 Char"/>
    <w:link w:val="708"/>
    <w:uiPriority w:val="9"/>
    <w:semiHidden/>
    <w:qFormat/>
    <w:pPr>
      <w:pBdr/>
      <w:spacing/>
      <w:ind/>
    </w:pPr>
    <w:rPr>
      <w:sz w:val="24"/>
      <w:szCs w:val="24"/>
    </w:rPr>
  </w:style>
  <w:style w:type="character" w:styleId="736" w:customStyle="1">
    <w:name w:val="Heading 3 Char"/>
    <w:link w:val="709"/>
    <w:uiPriority w:val="9"/>
    <w:semiHidden/>
    <w:qFormat/>
    <w:pPr>
      <w:pBdr/>
      <w:spacing/>
      <w:ind/>
    </w:pPr>
    <w:rPr>
      <w:sz w:val="24"/>
      <w:szCs w:val="24"/>
    </w:rPr>
  </w:style>
  <w:style w:type="character" w:styleId="737" w:customStyle="1">
    <w:name w:val="Heading 4 Char"/>
    <w:link w:val="710"/>
    <w:uiPriority w:val="9"/>
    <w:semiHidden/>
    <w:qFormat/>
    <w:pPr>
      <w:pBdr/>
      <w:spacing/>
      <w:ind/>
    </w:pPr>
    <w:rPr>
      <w:rFonts w:ascii="Times New Roman" w:hAnsi="Times New Roman" w:eastAsia="Times New Roman" w:cs="Times New Roman"/>
      <w:i/>
      <w:iCs/>
      <w:color w:val="000000" w:themeColor="text1"/>
      <w:sz w:val="20"/>
      <w:szCs w:val="20"/>
    </w:rPr>
  </w:style>
  <w:style w:type="character" w:styleId="738" w:customStyle="1">
    <w:name w:val="Heading 5 Char"/>
    <w:link w:val="711"/>
    <w:uiPriority w:val="9"/>
    <w:semiHidden/>
    <w:qFormat/>
    <w:pPr>
      <w:pBdr/>
      <w:spacing/>
      <w:ind/>
    </w:pPr>
    <w:rPr>
      <w:rFonts w:ascii="Times New Roman" w:hAnsi="Times New Roman" w:eastAsia="Times New Roman" w:cs="Times New Roman"/>
      <w:i/>
      <w:iCs/>
      <w:color w:val="000000" w:themeColor="text1"/>
      <w:sz w:val="20"/>
      <w:szCs w:val="20"/>
    </w:rPr>
  </w:style>
  <w:style w:type="character" w:styleId="739" w:customStyle="1">
    <w:name w:val="Heading 6 Char"/>
    <w:link w:val="712"/>
    <w:uiPriority w:val="9"/>
    <w:semiHidden/>
    <w:qFormat/>
    <w:pPr>
      <w:pBdr/>
      <w:spacing/>
      <w:ind/>
    </w:pPr>
    <w:rPr>
      <w:rFonts w:ascii="Times New Roman" w:hAnsi="Times New Roman" w:eastAsia="Times New Roman" w:cs="Times New Roman"/>
      <w:i/>
      <w:iCs/>
      <w:color w:val="000000" w:themeColor="text1"/>
      <w:sz w:val="20"/>
      <w:szCs w:val="20"/>
    </w:rPr>
  </w:style>
  <w:style w:type="character" w:styleId="740" w:customStyle="1">
    <w:name w:val="Heading 7 Char"/>
    <w:link w:val="713"/>
    <w:uiPriority w:val="9"/>
    <w:semiHidden/>
    <w:qFormat/>
    <w:pPr>
      <w:pBdr/>
      <w:spacing/>
      <w:ind/>
    </w:pPr>
    <w:rPr>
      <w:rFonts w:ascii="Times New Roman" w:hAnsi="Times New Roman" w:eastAsia="Times New Roman" w:cs="Times New Roman"/>
      <w:i/>
      <w:iCs/>
      <w:color w:val="000000" w:themeColor="text1"/>
      <w:sz w:val="20"/>
      <w:szCs w:val="20"/>
    </w:rPr>
  </w:style>
  <w:style w:type="character" w:styleId="741" w:customStyle="1">
    <w:name w:val="Heading 8 Char"/>
    <w:link w:val="714"/>
    <w:uiPriority w:val="9"/>
    <w:semiHidden/>
    <w:qFormat/>
    <w:pPr>
      <w:pBdr/>
      <w:spacing/>
      <w:ind/>
    </w:pPr>
    <w:rPr>
      <w:rFonts w:ascii="Times New Roman" w:hAnsi="Times New Roman" w:eastAsia="Times New Roman" w:cs="Times New Roman"/>
      <w:i/>
      <w:iCs/>
      <w:color w:val="000000" w:themeColor="text1"/>
      <w:sz w:val="20"/>
      <w:szCs w:val="20"/>
    </w:rPr>
  </w:style>
  <w:style w:type="character" w:styleId="742" w:customStyle="1">
    <w:name w:val="Heading 9 Char"/>
    <w:link w:val="715"/>
    <w:uiPriority w:val="9"/>
    <w:semiHidden/>
    <w:qFormat/>
    <w:pPr>
      <w:pBdr/>
      <w:spacing/>
      <w:ind/>
    </w:pPr>
    <w:rPr>
      <w:rFonts w:ascii="Times New Roman" w:hAnsi="Times New Roman" w:eastAsia="Times New Roman" w:cs="Times New Roman"/>
      <w:i/>
      <w:iCs/>
      <w:color w:val="000000" w:themeColor="text1"/>
      <w:sz w:val="20"/>
      <w:szCs w:val="20"/>
    </w:rPr>
  </w:style>
  <w:style w:type="character" w:styleId="743" w:default="1">
    <w:name w:val="Default Paragraph Font"/>
    <w:semiHidden/>
    <w:unhideWhenUsed/>
    <w:qFormat/>
    <w:pPr>
      <w:pBdr/>
      <w:spacing/>
      <w:ind/>
    </w:pPr>
  </w:style>
  <w:style w:type="character" w:styleId="744" w:customStyle="1">
    <w:name w:val="Body Text Char"/>
    <w:link w:val="783"/>
    <w:qFormat/>
    <w:pPr>
      <w:pBdr/>
      <w:spacing/>
      <w:ind/>
    </w:pPr>
    <w:rPr>
      <w:sz w:val="24"/>
      <w:szCs w:val="24"/>
    </w:rPr>
  </w:style>
  <w:style w:type="character" w:styleId="745">
    <w:name w:val="Hyperlink"/>
    <w:pPr>
      <w:pBdr/>
      <w:spacing/>
      <w:ind/>
    </w:pPr>
    <w:rPr>
      <w:color w:val="000080"/>
      <w:u w:val="single"/>
    </w:rPr>
  </w:style>
  <w:style w:type="character" w:styleId="746" w:customStyle="1">
    <w:name w:val="Verbatim Char"/>
    <w:basedOn w:val="744"/>
    <w:qFormat/>
    <w:pPr>
      <w:pBdr/>
      <w:spacing/>
      <w:ind/>
    </w:pPr>
    <w:rPr>
      <w:rFonts w:ascii="Consolas" w:hAnsi="Consolas"/>
      <w:sz w:val="22"/>
    </w:rPr>
  </w:style>
  <w:style w:type="character" w:styleId="747" w:customStyle="1">
    <w:name w:val="Section Number"/>
    <w:basedOn w:val="744"/>
    <w:qFormat/>
    <w:pPr>
      <w:pBdr/>
      <w:spacing/>
      <w:ind/>
    </w:pPr>
  </w:style>
  <w:style w:type="character" w:styleId="748">
    <w:name w:val="Footnote Characters"/>
    <w:qFormat/>
    <w:pPr>
      <w:pBdr/>
      <w:spacing/>
      <w:ind/>
    </w:pPr>
    <w:rPr>
      <w:vertAlign w:val="superscript"/>
    </w:rPr>
  </w:style>
  <w:style w:type="character" w:styleId="749">
    <w:name w:val="footnote reference"/>
    <w:pPr>
      <w:pBdr/>
      <w:spacing/>
      <w:ind/>
    </w:pPr>
    <w:rPr>
      <w:vertAlign w:val="superscript"/>
    </w:rPr>
  </w:style>
  <w:style w:type="character" w:styleId="750" w:customStyle="1">
    <w:name w:val="KeywordTok"/>
    <w:qFormat/>
    <w:pPr>
      <w:pBdr/>
      <w:spacing/>
      <w:ind/>
    </w:pPr>
    <w:rPr>
      <w:b/>
      <w:color w:val="003b4f"/>
      <w:shd w:val="clear" w:color="auto" w:fill="f1f3f5"/>
    </w:rPr>
  </w:style>
  <w:style w:type="character" w:styleId="751" w:customStyle="1">
    <w:name w:val="DataTypeTok"/>
    <w:qFormat/>
    <w:pPr>
      <w:pBdr/>
      <w:spacing/>
      <w:ind/>
    </w:pPr>
    <w:rPr>
      <w:color w:val="ad0000"/>
      <w:shd w:val="clear" w:color="auto" w:fill="f1f3f5"/>
    </w:rPr>
  </w:style>
  <w:style w:type="character" w:styleId="752" w:customStyle="1">
    <w:name w:val="DecValTok"/>
    <w:qFormat/>
    <w:pPr>
      <w:pBdr/>
      <w:spacing/>
      <w:ind/>
    </w:pPr>
    <w:rPr>
      <w:color w:val="ad0000"/>
      <w:shd w:val="clear" w:color="auto" w:fill="f1f3f5"/>
    </w:rPr>
  </w:style>
  <w:style w:type="character" w:styleId="753" w:customStyle="1">
    <w:name w:val="BaseNTok"/>
    <w:qFormat/>
    <w:pPr>
      <w:pBdr/>
      <w:spacing/>
      <w:ind/>
    </w:pPr>
    <w:rPr>
      <w:color w:val="ad0000"/>
      <w:shd w:val="clear" w:color="auto" w:fill="f1f3f5"/>
    </w:rPr>
  </w:style>
  <w:style w:type="character" w:styleId="754" w:customStyle="1">
    <w:name w:val="FloatTok"/>
    <w:qFormat/>
    <w:pPr>
      <w:pBdr/>
      <w:spacing/>
      <w:ind/>
    </w:pPr>
    <w:rPr>
      <w:color w:val="ad0000"/>
      <w:shd w:val="clear" w:color="auto" w:fill="f1f3f5"/>
    </w:rPr>
  </w:style>
  <w:style w:type="character" w:styleId="755" w:customStyle="1">
    <w:name w:val="ConstantTok"/>
    <w:qFormat/>
    <w:pPr>
      <w:pBdr/>
      <w:spacing/>
      <w:ind/>
    </w:pPr>
    <w:rPr>
      <w:color w:val="8f5902"/>
      <w:shd w:val="clear" w:color="auto" w:fill="f1f3f5"/>
    </w:rPr>
  </w:style>
  <w:style w:type="character" w:styleId="756" w:customStyle="1">
    <w:name w:val="CharTok"/>
    <w:qFormat/>
    <w:pPr>
      <w:pBdr/>
      <w:spacing/>
      <w:ind/>
    </w:pPr>
    <w:rPr>
      <w:color w:val="20794d"/>
      <w:shd w:val="clear" w:color="auto" w:fill="f1f3f5"/>
    </w:rPr>
  </w:style>
  <w:style w:type="character" w:styleId="757" w:customStyle="1">
    <w:name w:val="SpecialCharTok"/>
    <w:qFormat/>
    <w:pPr>
      <w:pBdr/>
      <w:spacing/>
      <w:ind/>
    </w:pPr>
    <w:rPr>
      <w:color w:val="5e5e5e"/>
      <w:shd w:val="clear" w:color="auto" w:fill="f1f3f5"/>
    </w:rPr>
  </w:style>
  <w:style w:type="character" w:styleId="758" w:customStyle="1">
    <w:name w:val="StringTok"/>
    <w:qFormat/>
    <w:pPr>
      <w:pBdr/>
      <w:spacing/>
      <w:ind/>
    </w:pPr>
    <w:rPr>
      <w:color w:val="20794d"/>
      <w:shd w:val="clear" w:color="auto" w:fill="f1f3f5"/>
    </w:rPr>
  </w:style>
  <w:style w:type="character" w:styleId="759" w:customStyle="1">
    <w:name w:val="VerbatimStringTok"/>
    <w:qFormat/>
    <w:pPr>
      <w:pBdr/>
      <w:spacing/>
      <w:ind/>
    </w:pPr>
    <w:rPr>
      <w:color w:val="20794d"/>
      <w:shd w:val="clear" w:color="auto" w:fill="f1f3f5"/>
    </w:rPr>
  </w:style>
  <w:style w:type="character" w:styleId="760" w:customStyle="1">
    <w:name w:val="SpecialStringTok"/>
    <w:qFormat/>
    <w:pPr>
      <w:pBdr/>
      <w:spacing/>
      <w:ind/>
    </w:pPr>
    <w:rPr>
      <w:color w:val="20794d"/>
      <w:shd w:val="clear" w:color="auto" w:fill="f1f3f5"/>
    </w:rPr>
  </w:style>
  <w:style w:type="character" w:styleId="761" w:customStyle="1">
    <w:name w:val="ImportTok"/>
    <w:qFormat/>
    <w:pPr>
      <w:pBdr/>
      <w:spacing/>
      <w:ind/>
    </w:pPr>
    <w:rPr>
      <w:color w:val="00769e"/>
      <w:shd w:val="clear" w:color="auto" w:fill="f1f3f5"/>
    </w:rPr>
  </w:style>
  <w:style w:type="character" w:styleId="762" w:customStyle="1">
    <w:name w:val="CommentTok"/>
    <w:qFormat/>
    <w:pPr>
      <w:pBdr/>
      <w:spacing/>
      <w:ind/>
    </w:pPr>
    <w:rPr>
      <w:color w:val="5e5e5e"/>
      <w:shd w:val="clear" w:color="auto" w:fill="f1f3f5"/>
    </w:rPr>
  </w:style>
  <w:style w:type="character" w:styleId="763" w:customStyle="1">
    <w:name w:val="DocumentationTok"/>
    <w:qFormat/>
    <w:pPr>
      <w:pBdr/>
      <w:spacing/>
      <w:ind/>
    </w:pPr>
    <w:rPr>
      <w:i/>
      <w:color w:val="5e5e5e"/>
      <w:shd w:val="clear" w:color="auto" w:fill="f1f3f5"/>
    </w:rPr>
  </w:style>
  <w:style w:type="character" w:styleId="764" w:customStyle="1">
    <w:name w:val="AnnotationTok"/>
    <w:qFormat/>
    <w:pPr>
      <w:pBdr/>
      <w:spacing/>
      <w:ind/>
    </w:pPr>
    <w:rPr>
      <w:color w:val="5e5e5e"/>
      <w:shd w:val="clear" w:color="auto" w:fill="f1f3f5"/>
    </w:rPr>
  </w:style>
  <w:style w:type="character" w:styleId="765" w:customStyle="1">
    <w:name w:val="CommentVarTok"/>
    <w:qFormat/>
    <w:pPr>
      <w:pBdr/>
      <w:spacing/>
      <w:ind/>
    </w:pPr>
    <w:rPr>
      <w:i/>
      <w:color w:val="5e5e5e"/>
      <w:shd w:val="clear" w:color="auto" w:fill="f1f3f5"/>
    </w:rPr>
  </w:style>
  <w:style w:type="character" w:styleId="766" w:customStyle="1">
    <w:name w:val="OtherTok"/>
    <w:qFormat/>
    <w:pPr>
      <w:pBdr/>
      <w:spacing/>
      <w:ind/>
    </w:pPr>
    <w:rPr>
      <w:color w:val="003b4f"/>
      <w:shd w:val="clear" w:color="auto" w:fill="f1f3f5"/>
    </w:rPr>
  </w:style>
  <w:style w:type="character" w:styleId="767" w:customStyle="1">
    <w:name w:val="FunctionTok"/>
    <w:qFormat/>
    <w:pPr>
      <w:pBdr/>
      <w:spacing/>
      <w:ind/>
    </w:pPr>
    <w:rPr>
      <w:color w:val="4758ab"/>
      <w:shd w:val="clear" w:color="auto" w:fill="f1f3f5"/>
    </w:rPr>
  </w:style>
  <w:style w:type="character" w:styleId="768" w:customStyle="1">
    <w:name w:val="VariableTok"/>
    <w:qFormat/>
    <w:pPr>
      <w:pBdr/>
      <w:spacing/>
      <w:ind/>
    </w:pPr>
    <w:rPr>
      <w:color w:val="111111"/>
      <w:shd w:val="clear" w:color="auto" w:fill="f1f3f5"/>
    </w:rPr>
  </w:style>
  <w:style w:type="character" w:styleId="769" w:customStyle="1">
    <w:name w:val="ControlFlowTok"/>
    <w:qFormat/>
    <w:pPr>
      <w:pBdr/>
      <w:spacing/>
      <w:ind/>
    </w:pPr>
    <w:rPr>
      <w:b/>
      <w:color w:val="003b4f"/>
      <w:shd w:val="clear" w:color="auto" w:fill="f1f3f5"/>
    </w:rPr>
  </w:style>
  <w:style w:type="character" w:styleId="770" w:customStyle="1">
    <w:name w:val="OperatorTok"/>
    <w:qFormat/>
    <w:pPr>
      <w:pBdr/>
      <w:spacing/>
      <w:ind/>
    </w:pPr>
    <w:rPr>
      <w:color w:val="5e5e5e"/>
      <w:shd w:val="clear" w:color="auto" w:fill="f1f3f5"/>
    </w:rPr>
  </w:style>
  <w:style w:type="character" w:styleId="771" w:customStyle="1">
    <w:name w:val="BuiltInTok"/>
    <w:qFormat/>
    <w:pPr>
      <w:pBdr/>
      <w:spacing/>
      <w:ind/>
    </w:pPr>
    <w:rPr>
      <w:color w:val="003b4f"/>
      <w:shd w:val="clear" w:color="auto" w:fill="f1f3f5"/>
    </w:rPr>
  </w:style>
  <w:style w:type="character" w:styleId="772" w:customStyle="1">
    <w:name w:val="ExtensionTok"/>
    <w:qFormat/>
    <w:pPr>
      <w:pBdr/>
      <w:spacing/>
      <w:ind/>
    </w:pPr>
    <w:rPr>
      <w:color w:val="003b4f"/>
      <w:shd w:val="clear" w:color="auto" w:fill="f1f3f5"/>
    </w:rPr>
  </w:style>
  <w:style w:type="character" w:styleId="773" w:customStyle="1">
    <w:name w:val="PreprocessorTok"/>
    <w:qFormat/>
    <w:pPr>
      <w:pBdr/>
      <w:spacing/>
      <w:ind/>
    </w:pPr>
    <w:rPr>
      <w:color w:val="ad0000"/>
      <w:shd w:val="clear" w:color="auto" w:fill="f1f3f5"/>
    </w:rPr>
  </w:style>
  <w:style w:type="character" w:styleId="774" w:customStyle="1">
    <w:name w:val="AttributeTok"/>
    <w:qFormat/>
    <w:pPr>
      <w:pBdr/>
      <w:spacing/>
      <w:ind/>
    </w:pPr>
    <w:rPr>
      <w:color w:val="657422"/>
      <w:shd w:val="clear" w:color="auto" w:fill="f1f3f5"/>
    </w:rPr>
  </w:style>
  <w:style w:type="character" w:styleId="775" w:customStyle="1">
    <w:name w:val="RegionMarkerTok"/>
    <w:qFormat/>
    <w:pPr>
      <w:pBdr/>
      <w:spacing/>
      <w:ind/>
    </w:pPr>
    <w:rPr>
      <w:color w:val="003b4f"/>
      <w:shd w:val="clear" w:color="auto" w:fill="f1f3f5"/>
    </w:rPr>
  </w:style>
  <w:style w:type="character" w:styleId="776" w:customStyle="1">
    <w:name w:val="InformationTok"/>
    <w:qFormat/>
    <w:pPr>
      <w:pBdr/>
      <w:spacing/>
      <w:ind/>
    </w:pPr>
    <w:rPr>
      <w:color w:val="5e5e5e"/>
      <w:shd w:val="clear" w:color="auto" w:fill="f1f3f5"/>
    </w:rPr>
  </w:style>
  <w:style w:type="character" w:styleId="777" w:customStyle="1">
    <w:name w:val="WarningTok"/>
    <w:qFormat/>
    <w:pPr>
      <w:pBdr/>
      <w:spacing/>
      <w:ind/>
    </w:pPr>
    <w:rPr>
      <w:i/>
      <w:color w:val="5e5e5e"/>
      <w:shd w:val="clear" w:color="auto" w:fill="f1f3f5"/>
    </w:rPr>
  </w:style>
  <w:style w:type="character" w:styleId="778" w:customStyle="1">
    <w:name w:val="AlertTok"/>
    <w:qFormat/>
    <w:pPr>
      <w:pBdr/>
      <w:spacing/>
      <w:ind/>
    </w:pPr>
    <w:rPr>
      <w:color w:val="ad0000"/>
      <w:shd w:val="clear" w:color="auto" w:fill="f1f3f5"/>
    </w:rPr>
  </w:style>
  <w:style w:type="character" w:styleId="779" w:customStyle="1">
    <w:name w:val="ErrorTok"/>
    <w:qFormat/>
    <w:pPr>
      <w:pBdr/>
      <w:spacing/>
      <w:ind/>
    </w:pPr>
    <w:rPr>
      <w:color w:val="ad0000"/>
      <w:shd w:val="clear" w:color="auto" w:fill="f1f3f5"/>
    </w:rPr>
  </w:style>
  <w:style w:type="character" w:styleId="780" w:customStyle="1">
    <w:name w:val="NormalTok"/>
    <w:qFormat/>
    <w:pPr>
      <w:pBdr/>
      <w:spacing/>
      <w:ind/>
    </w:pPr>
    <w:rPr>
      <w:color w:val="003b4f"/>
      <w:shd w:val="clear" w:color="auto" w:fill="f1f3f5"/>
    </w:rPr>
  </w:style>
  <w:style w:type="character" w:styleId="781">
    <w:name w:val="Line Number"/>
    <w:pPr>
      <w:pBdr/>
      <w:spacing/>
      <w:ind/>
    </w:pPr>
  </w:style>
  <w:style w:type="paragraph" w:styleId="782">
    <w:name w:val="Heading"/>
    <w:basedOn w:val="706"/>
    <w:next w:val="783"/>
    <w:qFormat/>
    <w:pPr>
      <w:keepNext w:val="true"/>
      <w:pBdr/>
      <w:spacing w:after="120" w:before="240"/>
      <w:ind/>
    </w:pPr>
    <w:rPr>
      <w:rFonts w:ascii="Liberation Sans" w:hAnsi="Liberation Sans" w:eastAsia="Noto Sans CJK SC" w:cs="Noto Sans Devanagari"/>
      <w:sz w:val="28"/>
      <w:szCs w:val="28"/>
    </w:rPr>
  </w:style>
  <w:style w:type="paragraph" w:styleId="783">
    <w:name w:val="Body Text"/>
    <w:basedOn w:val="706"/>
    <w:link w:val="744"/>
    <w:qFormat/>
    <w:pPr>
      <w:pBdr/>
      <w:spacing w:after="0" w:before="0" w:line="360" w:lineRule="auto"/>
      <w:ind/>
      <w:jc w:val="both"/>
    </w:pPr>
    <w:rPr>
      <w:rFonts w:ascii="Times New Roman" w:hAnsi="Times New Roman" w:eastAsia="Times New Roman" w:cs="Times New Roman"/>
      <w:color w:val="000000" w:themeColor="text1"/>
      <w:sz w:val="24"/>
      <w:szCs w:val="24"/>
    </w:rPr>
  </w:style>
  <w:style w:type="paragraph" w:styleId="784">
    <w:name w:val="List"/>
    <w:basedOn w:val="783"/>
    <w:pPr>
      <w:pBdr/>
      <w:spacing/>
      <w:ind/>
    </w:pPr>
    <w:rPr>
      <w:rFonts w:cs="Noto Sans Devanagari"/>
    </w:rPr>
  </w:style>
  <w:style w:type="paragraph" w:styleId="785">
    <w:name w:val="Caption"/>
    <w:basedOn w:val="706"/>
    <w:link w:val="744"/>
    <w:qFormat/>
    <w:pPr>
      <w:pBdr/>
      <w:spacing w:after="198" w:before="0" w:line="240" w:lineRule="auto"/>
      <w:ind/>
    </w:pPr>
    <w:rPr>
      <w:b/>
      <w:i w:val="0"/>
    </w:rPr>
  </w:style>
  <w:style w:type="paragraph" w:styleId="786">
    <w:name w:val="Index"/>
    <w:basedOn w:val="706"/>
    <w:qFormat/>
    <w:pPr>
      <w:suppressLineNumbers w:val="true"/>
      <w:pBdr/>
      <w:spacing/>
      <w:ind/>
    </w:pPr>
    <w:rPr>
      <w:rFonts w:cs="Noto Sans Devanagari"/>
    </w:rPr>
  </w:style>
  <w:style w:type="paragraph" w:styleId="787">
    <w:name w:val="Quote"/>
    <w:basedOn w:val="706"/>
    <w:next w:val="706"/>
    <w:link w:val="716"/>
    <w:uiPriority w:val="29"/>
    <w:qFormat/>
    <w:pPr>
      <w:pBdr/>
      <w:spacing w:after="200" w:before="160"/>
      <w:ind/>
      <w:jc w:val="center"/>
    </w:pPr>
    <w:rPr>
      <w:i/>
      <w:iCs/>
      <w:color w:val="404040" w:themeColor="text1" w:themeTint="BF"/>
    </w:rPr>
  </w:style>
  <w:style w:type="paragraph" w:styleId="788">
    <w:name w:val="List Paragraph"/>
    <w:basedOn w:val="706"/>
    <w:uiPriority w:val="34"/>
    <w:qFormat/>
    <w:pPr>
      <w:pBdr/>
      <w:spacing w:after="200" w:before="0"/>
      <w:ind w:left="720"/>
      <w:contextualSpacing w:val="true"/>
    </w:pPr>
  </w:style>
  <w:style w:type="paragraph" w:styleId="789">
    <w:name w:val="Intense Quote"/>
    <w:basedOn w:val="706"/>
    <w:next w:val="706"/>
    <w:link w:val="71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paragraph" w:styleId="790">
    <w:name w:val="No Spacing"/>
    <w:basedOn w:val="706"/>
    <w:uiPriority w:val="1"/>
    <w:qFormat/>
    <w:pPr>
      <w:pBdr/>
      <w:spacing w:after="0" w:before="0" w:line="240" w:lineRule="auto"/>
      <w:ind/>
    </w:pPr>
  </w:style>
  <w:style w:type="paragraph" w:styleId="791">
    <w:name w:val="Header and Footer"/>
    <w:basedOn w:val="706"/>
    <w:qFormat/>
    <w:pPr>
      <w:pBdr/>
      <w:spacing/>
      <w:ind/>
    </w:pPr>
  </w:style>
  <w:style w:type="paragraph" w:styleId="792">
    <w:name w:val="Header"/>
    <w:basedOn w:val="706"/>
    <w:link w:val="725"/>
    <w:uiPriority w:val="99"/>
    <w:unhideWhenUsed/>
    <w:pPr>
      <w:suppressLineNumbers w:val="true"/>
      <w:pBdr/>
      <w:tabs>
        <w:tab w:val="clear" w:leader="none" w:pos="720"/>
        <w:tab w:val="center" w:leader="none" w:pos="4844"/>
        <w:tab w:val="right" w:leader="none" w:pos="9689"/>
      </w:tabs>
      <w:spacing w:after="0" w:before="0" w:line="240" w:lineRule="auto"/>
      <w:ind/>
    </w:pPr>
  </w:style>
  <w:style w:type="paragraph" w:styleId="793">
    <w:name w:val="Footer"/>
    <w:basedOn w:val="706"/>
    <w:link w:val="726"/>
    <w:uiPriority w:val="99"/>
    <w:unhideWhenUsed/>
    <w:pPr>
      <w:suppressLineNumbers w:val="true"/>
      <w:pBdr/>
      <w:tabs>
        <w:tab w:val="clear" w:leader="none" w:pos="720"/>
        <w:tab w:val="center" w:leader="none" w:pos="4844"/>
        <w:tab w:val="right" w:leader="none" w:pos="9689"/>
      </w:tabs>
      <w:spacing w:after="0" w:before="0" w:line="240" w:lineRule="auto"/>
      <w:ind/>
    </w:pPr>
  </w:style>
  <w:style w:type="paragraph" w:styleId="794">
    <w:name w:val="endnote text"/>
    <w:basedOn w:val="706"/>
    <w:link w:val="728"/>
    <w:uiPriority w:val="99"/>
    <w:semiHidden/>
    <w:unhideWhenUsed/>
    <w:pPr>
      <w:pBdr/>
      <w:spacing w:after="0" w:before="0" w:line="240" w:lineRule="auto"/>
      <w:ind/>
    </w:pPr>
    <w:rPr>
      <w:sz w:val="20"/>
      <w:szCs w:val="20"/>
    </w:rPr>
  </w:style>
  <w:style w:type="paragraph" w:styleId="795">
    <w:name w:val="toc 1"/>
    <w:basedOn w:val="706"/>
    <w:next w:val="706"/>
    <w:uiPriority w:val="39"/>
    <w:unhideWhenUsed/>
    <w:pPr>
      <w:pBdr/>
      <w:spacing w:after="100" w:before="0"/>
      <w:ind/>
    </w:pPr>
  </w:style>
  <w:style w:type="paragraph" w:styleId="796">
    <w:name w:val="toc 2"/>
    <w:basedOn w:val="706"/>
    <w:next w:val="706"/>
    <w:uiPriority w:val="39"/>
    <w:unhideWhenUsed/>
    <w:pPr>
      <w:pBdr/>
      <w:spacing w:after="100" w:before="0"/>
      <w:ind w:left="220"/>
    </w:pPr>
  </w:style>
  <w:style w:type="paragraph" w:styleId="797">
    <w:name w:val="toc 3"/>
    <w:basedOn w:val="706"/>
    <w:next w:val="706"/>
    <w:uiPriority w:val="39"/>
    <w:unhideWhenUsed/>
    <w:pPr>
      <w:pBdr/>
      <w:spacing w:after="100" w:before="0"/>
      <w:ind w:left="440"/>
    </w:pPr>
  </w:style>
  <w:style w:type="paragraph" w:styleId="798">
    <w:name w:val="toc 4"/>
    <w:basedOn w:val="706"/>
    <w:next w:val="706"/>
    <w:uiPriority w:val="39"/>
    <w:unhideWhenUsed/>
    <w:pPr>
      <w:pBdr/>
      <w:spacing w:after="100" w:before="0"/>
      <w:ind w:left="660"/>
    </w:pPr>
  </w:style>
  <w:style w:type="paragraph" w:styleId="799">
    <w:name w:val="toc 5"/>
    <w:basedOn w:val="706"/>
    <w:next w:val="706"/>
    <w:uiPriority w:val="39"/>
    <w:unhideWhenUsed/>
    <w:pPr>
      <w:pBdr/>
      <w:spacing w:after="100" w:before="0"/>
      <w:ind w:left="880"/>
    </w:pPr>
  </w:style>
  <w:style w:type="paragraph" w:styleId="800">
    <w:name w:val="toc 6"/>
    <w:basedOn w:val="706"/>
    <w:next w:val="706"/>
    <w:uiPriority w:val="39"/>
    <w:unhideWhenUsed/>
    <w:pPr>
      <w:pBdr/>
      <w:spacing w:after="100" w:before="0"/>
      <w:ind w:left="1100"/>
    </w:pPr>
  </w:style>
  <w:style w:type="paragraph" w:styleId="801">
    <w:name w:val="toc 7"/>
    <w:basedOn w:val="706"/>
    <w:next w:val="706"/>
    <w:uiPriority w:val="39"/>
    <w:unhideWhenUsed/>
    <w:pPr>
      <w:pBdr/>
      <w:spacing w:after="100" w:before="0"/>
      <w:ind w:left="1320"/>
    </w:pPr>
  </w:style>
  <w:style w:type="paragraph" w:styleId="802">
    <w:name w:val="toc 8"/>
    <w:basedOn w:val="706"/>
    <w:next w:val="706"/>
    <w:uiPriority w:val="39"/>
    <w:unhideWhenUsed/>
    <w:pPr>
      <w:pBdr/>
      <w:spacing w:after="100" w:before="0"/>
      <w:ind w:left="1540"/>
    </w:pPr>
  </w:style>
  <w:style w:type="paragraph" w:styleId="803">
    <w:name w:val="toc 9"/>
    <w:basedOn w:val="706"/>
    <w:next w:val="706"/>
    <w:uiPriority w:val="39"/>
    <w:unhideWhenUsed/>
    <w:pPr>
      <w:pBdr/>
      <w:spacing w:after="100" w:before="0"/>
      <w:ind w:left="1760"/>
    </w:pPr>
  </w:style>
  <w:style w:type="paragraph" w:styleId="804">
    <w:name w:val="table of figures"/>
    <w:basedOn w:val="706"/>
    <w:next w:val="706"/>
    <w:uiPriority w:val="99"/>
    <w:unhideWhenUsed/>
    <w:pPr>
      <w:pBdr/>
      <w:spacing w:after="0" w:afterAutospacing="0" w:before="0"/>
      <w:ind/>
    </w:pPr>
  </w:style>
  <w:style w:type="paragraph" w:styleId="805" w:customStyle="1">
    <w:name w:val="First Paragraph"/>
    <w:basedOn w:val="783"/>
    <w:next w:val="783"/>
    <w:qFormat/>
    <w:pPr>
      <w:pBdr/>
      <w:spacing/>
      <w:ind/>
    </w:pPr>
    <w:rPr>
      <w:rFonts w:ascii="Times New Roman" w:hAnsi="Times New Roman" w:eastAsia="Times New Roman" w:cs="Times New Roman"/>
      <w:sz w:val="24"/>
      <w:szCs w:val="24"/>
    </w:rPr>
  </w:style>
  <w:style w:type="paragraph" w:styleId="806" w:customStyle="1">
    <w:name w:val="Compact"/>
    <w:basedOn w:val="783"/>
    <w:qFormat/>
    <w:pPr>
      <w:pBdr/>
      <w:spacing w:after="36" w:before="36"/>
      <w:ind/>
    </w:pPr>
  </w:style>
  <w:style w:type="paragraph" w:styleId="807">
    <w:name w:val="Title"/>
    <w:basedOn w:val="706"/>
    <w:next w:val="783"/>
    <w:link w:val="732"/>
    <w:uiPriority w:val="10"/>
    <w:qFormat/>
    <w:pPr>
      <w:pBdr/>
      <w:spacing w:after="0" w:before="363" w:line="442" w:lineRule="exact"/>
      <w:ind/>
      <w:contextualSpacing w:val="true"/>
      <w:jc w:val="both"/>
    </w:pPr>
    <w:rPr>
      <w:rFonts w:ascii="Times New Roman" w:hAnsi="Times New Roman" w:eastAsia="Times New Roman" w:cs="Times New Roman"/>
      <w:b/>
      <w:bCs/>
      <w:sz w:val="34"/>
      <w:szCs w:val="34"/>
    </w:rPr>
  </w:style>
  <w:style w:type="paragraph" w:styleId="808">
    <w:name w:val="Subtitle"/>
    <w:basedOn w:val="807"/>
    <w:next w:val="783"/>
    <w:link w:val="733"/>
    <w:uiPriority w:val="11"/>
    <w:qFormat/>
    <w:pPr>
      <w:pBdr/>
      <w:spacing/>
      <w:ind/>
    </w:pPr>
    <w:rPr>
      <w:rFonts w:eastAsia="Arial" w:cs="Arial" w:eastAsiaTheme="majorEastAsia" w:cstheme="majorBidi"/>
      <w:spacing w:val="15"/>
      <w:sz w:val="28"/>
      <w:szCs w:val="28"/>
    </w:rPr>
  </w:style>
  <w:style w:type="paragraph" w:styleId="809" w:customStyle="1">
    <w:name w:val="Author"/>
    <w:basedOn w:val="807"/>
    <w:next w:val="783"/>
    <w:qFormat/>
    <w:pPr>
      <w:keepNext w:val="true"/>
      <w:keepLines w:val="true"/>
      <w:pBdr/>
      <w:spacing w:after="0" w:before="181" w:line="240" w:lineRule="auto"/>
      <w:ind/>
      <w:contextualSpacing w:val="true"/>
      <w:jc w:val="both"/>
    </w:pPr>
    <w:rPr>
      <w:b w:val="0"/>
      <w:bCs w:val="0"/>
      <w:sz w:val="24"/>
      <w:szCs w:val="24"/>
    </w:rPr>
  </w:style>
  <w:style w:type="paragraph" w:styleId="810">
    <w:name w:val="Date"/>
    <w:basedOn w:val="807"/>
    <w:next w:val="783"/>
    <w:qFormat/>
    <w:pPr>
      <w:keepNext w:val="true"/>
      <w:keepLines w:val="true"/>
      <w:pBdr/>
      <w:spacing/>
      <w:ind/>
    </w:pPr>
    <w:rPr>
      <w:sz w:val="24"/>
      <w:szCs w:val="24"/>
    </w:rPr>
  </w:style>
  <w:style w:type="paragraph" w:styleId="811" w:customStyle="1">
    <w:name w:val="Abstract Title"/>
    <w:basedOn w:val="706"/>
    <w:next w:val="812"/>
    <w:qFormat/>
    <w:pPr>
      <w:keepNext w:val="true"/>
      <w:keepLines w:val="true"/>
      <w:pBdr/>
      <w:spacing w:after="0" w:before="300"/>
      <w:ind/>
      <w:jc w:val="center"/>
    </w:pPr>
    <w:rPr>
      <w:b/>
      <w:sz w:val="20"/>
      <w:szCs w:val="20"/>
    </w:rPr>
  </w:style>
  <w:style w:type="paragraph" w:styleId="812" w:customStyle="1">
    <w:name w:val="Abstract"/>
    <w:basedOn w:val="706"/>
    <w:next w:val="783"/>
    <w:qFormat/>
    <w:pPr>
      <w:keepNext w:val="true"/>
      <w:keepLines w:val="true"/>
      <w:pBdr/>
      <w:spacing w:after="0" w:before="0" w:line="360" w:lineRule="auto"/>
      <w:ind/>
      <w:jc w:val="both"/>
    </w:pPr>
    <w:rPr>
      <w:rFonts w:ascii="Times New Roman" w:hAnsi="Times New Roman" w:eastAsia="Times New Roman" w:cs="Times New Roman"/>
      <w:sz w:val="24"/>
      <w:szCs w:val="24"/>
    </w:rPr>
  </w:style>
  <w:style w:type="paragraph" w:styleId="813">
    <w:name w:val="Bibliography"/>
    <w:basedOn w:val="706"/>
    <w:qFormat/>
    <w:pPr>
      <w:pBdr/>
      <w:spacing/>
      <w:ind/>
    </w:pPr>
  </w:style>
  <w:style w:type="paragraph" w:styleId="814">
    <w:name w:val="Block Text"/>
    <w:basedOn w:val="783"/>
    <w:next w:val="783"/>
    <w:uiPriority w:val="9"/>
    <w:unhideWhenUsed/>
    <w:qFormat/>
    <w:pPr>
      <w:pBdr/>
      <w:spacing w:after="100" w:before="100"/>
      <w:ind w:right="480" w:firstLine="0" w:left="480"/>
    </w:pPr>
  </w:style>
  <w:style w:type="paragraph" w:styleId="815">
    <w:name w:val="footnote text"/>
    <w:basedOn w:val="706"/>
    <w:uiPriority w:val="9"/>
    <w:unhideWhenUsed/>
    <w:qFormat/>
    <w:pPr>
      <w:pBdr/>
      <w:spacing/>
      <w:ind/>
    </w:pPr>
  </w:style>
  <w:style w:type="paragraph" w:styleId="816">
    <w:name w:val="Footnote Block Text"/>
    <w:basedOn w:val="815"/>
    <w:next w:val="815"/>
    <w:uiPriority w:val="9"/>
    <w:unhideWhenUsed/>
    <w:qFormat/>
    <w:pPr>
      <w:pBdr/>
      <w:spacing w:after="100" w:before="100"/>
      <w:ind w:right="480" w:firstLine="0" w:left="480"/>
    </w:pPr>
  </w:style>
  <w:style w:type="paragraph" w:styleId="817">
    <w:name w:val="Table"/>
    <w:basedOn w:val="806"/>
    <w:semiHidden/>
    <w:unhideWhenUsed/>
    <w:qFormat/>
    <w:pPr>
      <w:pBdr/>
      <w:spacing/>
      <w:ind/>
      <w:jc w:val="left"/>
    </w:pPr>
  </w:style>
  <w:style w:type="paragraph" w:styleId="818" w:customStyle="1">
    <w:name w:val="Definition Term"/>
    <w:basedOn w:val="706"/>
    <w:next w:val="819"/>
    <w:qFormat/>
    <w:pPr>
      <w:keepNext w:val="true"/>
      <w:keepLines w:val="true"/>
      <w:pBdr/>
      <w:spacing w:after="0" w:before="0"/>
      <w:ind/>
    </w:pPr>
    <w:rPr>
      <w:b/>
    </w:rPr>
  </w:style>
  <w:style w:type="paragraph" w:styleId="819" w:customStyle="1">
    <w:name w:val="Definition"/>
    <w:basedOn w:val="706"/>
    <w:qFormat/>
    <w:pPr>
      <w:pBdr/>
      <w:spacing/>
      <w:ind/>
    </w:pPr>
  </w:style>
  <w:style w:type="paragraph" w:styleId="820" w:customStyle="1">
    <w:name w:val="Table Caption"/>
    <w:basedOn w:val="785"/>
    <w:qFormat/>
    <w:pPr>
      <w:keepNext w:val="true"/>
      <w:pBdr/>
      <w:spacing w:after="198" w:before="0" w:line="240" w:lineRule="auto"/>
      <w:ind/>
      <w:jc w:val="both"/>
    </w:pPr>
    <w:rPr>
      <w:rFonts w:ascii="Times New Roman" w:hAnsi="Times New Roman" w:eastAsia="Times New Roman" w:cs="Times New Roman"/>
      <w:b/>
      <w:bCs/>
      <w:i w:val="0"/>
      <w:iCs w:val="0"/>
      <w:sz w:val="20"/>
      <w:szCs w:val="20"/>
    </w:rPr>
  </w:style>
  <w:style w:type="paragraph" w:styleId="821" w:customStyle="1">
    <w:name w:val="Image Caption"/>
    <w:basedOn w:val="785"/>
    <w:qFormat/>
    <w:pPr>
      <w:pBdr/>
      <w:spacing w:after="120" w:before="200"/>
      <w:ind/>
      <w:jc w:val="left"/>
    </w:pPr>
    <w:rPr>
      <w:rFonts w:eastAsia="Times New Roman" w:cs="Times New Roman"/>
      <w:b/>
      <w:i w:val="0"/>
      <w:color w:val="auto" w:themeColor="text1"/>
      <w:sz w:val="20"/>
      <w:szCs w:val="20"/>
    </w:rPr>
  </w:style>
  <w:style w:type="paragraph" w:styleId="822" w:customStyle="1">
    <w:name w:val="Figure"/>
    <w:basedOn w:val="706"/>
    <w:qFormat/>
    <w:pPr>
      <w:pBdr/>
      <w:spacing/>
      <w:ind/>
    </w:pPr>
  </w:style>
  <w:style w:type="paragraph" w:styleId="823" w:customStyle="1">
    <w:name w:val="Captioned Figure"/>
    <w:basedOn w:val="822"/>
    <w:qFormat/>
    <w:pPr>
      <w:keepNext w:val="true"/>
      <w:pBdr/>
      <w:spacing/>
      <w:ind/>
    </w:pPr>
  </w:style>
  <w:style w:type="paragraph" w:styleId="824">
    <w:name w:val="Internet link"/>
    <w:basedOn w:val="805"/>
    <w:next w:val="783"/>
    <w:qFormat/>
    <w:pPr>
      <w:pBdr/>
      <w:spacing w:after="0" w:before="0" w:line="360" w:lineRule="auto"/>
      <w:ind/>
      <w:jc w:val="both"/>
    </w:pPr>
  </w:style>
  <w:style w:type="paragraph" w:styleId="825">
    <w:name w:val="Index Heading"/>
    <w:basedOn w:val="782"/>
    <w:pPr>
      <w:pBdr/>
      <w:spacing/>
      <w:ind/>
    </w:pPr>
  </w:style>
  <w:style w:type="paragraph" w:styleId="826">
    <w:name w:val="TOC Heading"/>
    <w:basedOn w:val="707"/>
    <w:next w:val="783"/>
    <w:uiPriority w:val="39"/>
    <w:unhideWhenUsed/>
    <w:qFormat/>
    <w:pPr>
      <w:pBdr/>
      <w:spacing w:after="238" w:before="240" w:line="259" w:lineRule="auto"/>
      <w:ind/>
      <w:outlineLvl w:val="9"/>
    </w:pPr>
    <w:rPr>
      <w:rFonts w:ascii="Aptos Display" w:hAnsi="Aptos Display" w:eastAsia="Arial" w:cs="Arial" w:asciiTheme="majorHAnsi" w:hAnsiTheme="majorHAnsi" w:eastAsiaTheme="majorEastAsia" w:cstheme="majorBidi"/>
      <w:b w:val="0"/>
      <w:bCs w:val="0"/>
      <w:color w:val="365f91" w:themeColor="accent1" w:themeShade="BF"/>
    </w:rPr>
  </w:style>
  <w:style w:type="paragraph" w:styleId="827" w:customStyle="1">
    <w:name w:val="Affiliation"/>
    <w:qFormat/>
    <w:pPr>
      <w:widowControl w:val="true"/>
      <w:pBdr/>
      <w:bidi w:val="false"/>
      <w:spacing w:after="0" w:afterAutospacing="0" w:before="119" w:beforeAutospacing="0" w:line="240" w:lineRule="auto"/>
      <w:ind/>
      <w:jc w:val="both"/>
    </w:pPr>
    <w:rPr>
      <w:rFonts w:ascii="Times New Roman" w:hAnsi="Times New Roman" w:eastAsia="Times New Roman" w:cs="Times New Roman"/>
      <w:color w:val="auto"/>
      <w:sz w:val="20"/>
      <w:szCs w:val="20"/>
      <w:lang w:val="en-CA" w:eastAsia="en-US" w:bidi="ar-SA"/>
    </w:rPr>
  </w:style>
  <w:style w:type="paragraph" w:styleId="828" w:customStyle="1">
    <w:name w:val="Correspondence"/>
    <w:qFormat/>
    <w:pPr>
      <w:widowControl w:val="true"/>
      <w:pBdr/>
      <w:bidi w:val="false"/>
      <w:spacing w:after="363" w:afterAutospacing="0" w:before="119" w:beforeAutospacing="0" w:line="240" w:lineRule="auto"/>
      <w:ind/>
      <w:jc w:val="both"/>
    </w:pPr>
    <w:rPr>
      <w:rFonts w:ascii="Times New Roman" w:hAnsi="Times New Roman" w:eastAsia="Times New Roman" w:cs="Times New Roman"/>
      <w:color w:val="auto"/>
      <w:sz w:val="20"/>
      <w:szCs w:val="20"/>
      <w:lang w:val="en-CA" w:eastAsia="en-US" w:bidi="ar-SA"/>
    </w:rPr>
  </w:style>
  <w:style w:type="paragraph" w:styleId="829" w:customStyle="1">
    <w:name w:val="Source Code"/>
    <w:qFormat/>
    <w:pPr>
      <w:widowControl w:val="true"/>
      <w:pBdr/>
      <w:shd w:val="clear" w:color="auto" w:fill="f1f3f5"/>
      <w:bidi w:val="false"/>
      <w:spacing w:after="200" w:afterAutospacing="0" w:before="0" w:beforeAutospacing="0" w:line="240" w:lineRule="auto"/>
      <w:ind/>
      <w:jc w:val="left"/>
    </w:pPr>
    <w:rPr>
      <w:rFonts w:ascii="Aptos" w:hAnsi="Aptos" w:eastAsia="Aptos" w:cs="Arial" w:asciiTheme="minorHAnsi" w:hAnsiTheme="minorHAnsi" w:eastAsiaTheme="minorHAnsi" w:cstheme="minorBidi"/>
      <w:color w:val="auto"/>
      <w:sz w:val="24"/>
      <w:szCs w:val="24"/>
      <w:lang w:val="en-CA" w:eastAsia="en-US" w:bidi="ar-SA"/>
    </w:rPr>
  </w:style>
  <w:style w:type="numbering" w:styleId="830" w:default="1">
    <w:name w:val="No List"/>
    <w:uiPriority w:val="99"/>
    <w:semiHidden/>
    <w:unhideWhenUsed/>
    <w:qFormat/>
    <w:pPr>
      <w:pBdr/>
      <w:spacing/>
      <w:ind/>
    </w:pPr>
  </w:style>
  <w:style w:type="table" w:styleId="831"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Table Grid"/>
    <w:basedOn w:val="831"/>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Table Grid Light"/>
    <w:basedOn w:val="831"/>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Plain Table 1"/>
    <w:basedOn w:val="831"/>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Plain Table 2"/>
    <w:basedOn w:val="83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3"/>
    <w:basedOn w:val="83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fffff" w:fill="f2f2f2" w:themeFill="text1" w:themeFillTint="00"/>
        <w:tcBorders/>
      </w:tcPr>
    </w:tblStylePr>
    <w:tblStylePr w:type="band1Vert">
      <w:rPr>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4"/>
    <w:basedOn w:val="83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fffff" w:fill="f2f2f2" w:themeFill="text1" w:themeFillTint="00"/>
        <w:tcBorders/>
      </w:tcPr>
    </w:tblStylePr>
    <w:tblStylePr w:type="band1Vert">
      <w:rPr>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5"/>
    <w:basedOn w:val="83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fffff" w:fill="f2f2f2" w:themeFill="text1" w:themeFillTint="00"/>
        <w:tcBorders/>
      </w:tcPr>
    </w:tblStylePr>
    <w:tblStylePr w:type="band1Vert">
      <w:rPr>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right w:val="single" w:color="404040" w:sz="4" w:space="0"/>
        </w:tcBorders>
      </w:tcPr>
    </w:tblStylePr>
    <w:tblStylePr w:type="firstRow">
      <w:rPr>
        <w:i/>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tcBorders>
          <w:left w:val="single" w:color="404040" w:sz="4" w:space="0"/>
        </w:tcBorders>
      </w:tcPr>
    </w:tblStylePr>
    <w:tblStylePr w:type="lastRow">
      <w:rPr>
        <w:i/>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1 Light"/>
    <w:basedOn w:val="831"/>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1 Light - Accent 1"/>
    <w:basedOn w:val="831"/>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 Accent 2"/>
    <w:basedOn w:val="831"/>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3"/>
    <w:basedOn w:val="831"/>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4"/>
    <w:basedOn w:val="831"/>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5"/>
    <w:basedOn w:val="831"/>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6"/>
    <w:basedOn w:val="831"/>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2"/>
    <w:basedOn w:val="831"/>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2 - Accent 1"/>
    <w:basedOn w:val="831"/>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c0e4f5" w:themeFill="accent1" w:themeFillTint="34"/>
        <w:tcBorders/>
      </w:tcPr>
    </w:tblStylePr>
    <w:tblStylePr w:type="band1Vert">
      <w:rPr>
        <w:sz w:val="22"/>
      </w:rPr>
      <w:pPr>
        <w:pBdr/>
        <w:spacing/>
        <w:ind/>
      </w:pPr>
      <w:tblPr>
        <w:tblBorders/>
      </w:tblPr>
      <w:tcPr>
        <w:shd w:val="clear" w:color="ffffff"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 Accent 2"/>
    <w:basedOn w:val="831"/>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3d7" w:themeFill="accent2" w:themeFillTint="32"/>
        <w:tcBorders/>
      </w:tcPr>
    </w:tblStylePr>
    <w:tblStylePr w:type="band1Vert">
      <w:rPr>
        <w:sz w:val="22"/>
      </w:rPr>
      <w:pPr>
        <w:pBdr/>
        <w:spacing/>
        <w:ind/>
      </w:pPr>
      <w:tblPr>
        <w:tblBorders/>
      </w:tblPr>
      <w:tcPr>
        <w:shd w:val="clear" w:color="ffffff"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3"/>
    <w:basedOn w:val="831"/>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c1f0c7" w:themeFill="accent3" w:themeFillTint="34"/>
        <w:tcBorders/>
      </w:tcPr>
    </w:tblStylePr>
    <w:tblStylePr w:type="band1Vert">
      <w:rPr>
        <w:sz w:val="22"/>
      </w:rPr>
      <w:pPr>
        <w:pBdr/>
        <w:spacing/>
        <w:ind/>
      </w:pPr>
      <w:tblPr>
        <w:tblBorders/>
      </w:tblPr>
      <w:tcPr>
        <w:shd w:val="clear" w:color="ffffff"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4"/>
    <w:basedOn w:val="831"/>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c9edfb" w:themeFill="accent4" w:themeFillTint="34"/>
        <w:tcBorders/>
      </w:tcPr>
    </w:tblStylePr>
    <w:tblStylePr w:type="band1Vert">
      <w:rPr>
        <w:sz w:val="22"/>
      </w:rPr>
      <w:pPr>
        <w:pBdr/>
        <w:spacing/>
        <w:ind/>
      </w:pPr>
      <w:tblPr>
        <w:tblBorders/>
      </w:tblPr>
      <w:tcPr>
        <w:shd w:val="clear" w:color="ffffff"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5"/>
    <w:basedOn w:val="831"/>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f2ceee" w:themeFill="accent5" w:themeFillTint="34"/>
        <w:tcBorders/>
      </w:tcPr>
    </w:tblStylePr>
    <w:tblStylePr w:type="band1Vert">
      <w:rPr>
        <w:sz w:val="22"/>
      </w:rPr>
      <w:pPr>
        <w:pBdr/>
        <w:spacing/>
        <w:ind/>
      </w:pPr>
      <w:tblPr>
        <w:tblBorders/>
      </w:tblPr>
      <w:tcPr>
        <w:shd w:val="clear" w:color="ffffff"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6"/>
    <w:basedOn w:val="831"/>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d9f2d0" w:themeFill="accent6" w:themeFillTint="34"/>
        <w:tcBorders/>
      </w:tcPr>
    </w:tblStylePr>
    <w:tblStylePr w:type="band1Vert">
      <w:rPr>
        <w:sz w:val="22"/>
      </w:rPr>
      <w:pPr>
        <w:pBdr/>
        <w:spacing/>
        <w:ind/>
      </w:pPr>
      <w:tblPr>
        <w:tblBorders/>
      </w:tblPr>
      <w:tcPr>
        <w:shd w:val="clear" w:color="ffffff"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3"/>
    <w:basedOn w:val="831"/>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3 - Accent 1"/>
    <w:basedOn w:val="831"/>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c0e4f5" w:themeFill="accent1" w:themeFillTint="34"/>
        <w:tcBorders/>
      </w:tcPr>
    </w:tblStylePr>
    <w:tblStylePr w:type="band1Vert">
      <w:rPr>
        <w:sz w:val="22"/>
      </w:rPr>
      <w:pPr>
        <w:pBdr/>
        <w:spacing/>
        <w:ind/>
      </w:pPr>
      <w:tblPr>
        <w:tblBorders/>
      </w:tblPr>
      <w:tcPr>
        <w:shd w:val="clear" w:color="ffffff"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 Accent 2"/>
    <w:basedOn w:val="831"/>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3d7" w:themeFill="accent2" w:themeFillTint="32"/>
        <w:tcBorders/>
      </w:tcPr>
    </w:tblStylePr>
    <w:tblStylePr w:type="band1Vert">
      <w:rPr>
        <w:sz w:val="22"/>
      </w:rPr>
      <w:pPr>
        <w:pBdr/>
        <w:spacing/>
        <w:ind/>
      </w:pPr>
      <w:tblPr>
        <w:tblBorders/>
      </w:tblPr>
      <w:tcPr>
        <w:shd w:val="clear" w:color="ffffff"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3"/>
    <w:basedOn w:val="831"/>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c1f0c7" w:themeFill="accent3" w:themeFillTint="34"/>
        <w:tcBorders/>
      </w:tcPr>
    </w:tblStylePr>
    <w:tblStylePr w:type="band1Vert">
      <w:rPr>
        <w:sz w:val="22"/>
      </w:rPr>
      <w:pPr>
        <w:pBdr/>
        <w:spacing/>
        <w:ind/>
      </w:pPr>
      <w:tblPr>
        <w:tblBorders/>
      </w:tblPr>
      <w:tcPr>
        <w:shd w:val="clear" w:color="ffffff"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4"/>
    <w:basedOn w:val="831"/>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c9edfb" w:themeFill="accent4" w:themeFillTint="34"/>
        <w:tcBorders/>
      </w:tcPr>
    </w:tblStylePr>
    <w:tblStylePr w:type="band1Vert">
      <w:rPr>
        <w:sz w:val="22"/>
      </w:rPr>
      <w:pPr>
        <w:pBdr/>
        <w:spacing/>
        <w:ind/>
      </w:pPr>
      <w:tblPr>
        <w:tblBorders/>
      </w:tblPr>
      <w:tcPr>
        <w:shd w:val="clear" w:color="ffffff"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5"/>
    <w:basedOn w:val="831"/>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f2ceee" w:themeFill="accent5" w:themeFillTint="34"/>
        <w:tcBorders/>
      </w:tcPr>
    </w:tblStylePr>
    <w:tblStylePr w:type="band1Vert">
      <w:rPr>
        <w:sz w:val="22"/>
      </w:rPr>
      <w:pPr>
        <w:pBdr/>
        <w:spacing/>
        <w:ind/>
      </w:pPr>
      <w:tblPr>
        <w:tblBorders/>
      </w:tblPr>
      <w:tcPr>
        <w:shd w:val="clear" w:color="ffffff"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6"/>
    <w:basedOn w:val="831"/>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d9f2d0" w:themeFill="accent6" w:themeFillTint="34"/>
        <w:tcBorders/>
      </w:tcPr>
    </w:tblStylePr>
    <w:tblStylePr w:type="band1Vert">
      <w:rPr>
        <w:sz w:val="22"/>
      </w:rPr>
      <w:pPr>
        <w:pBdr/>
        <w:spacing/>
        <w:ind/>
      </w:pPr>
      <w:tblPr>
        <w:tblBorders/>
      </w:tblPr>
      <w:tcPr>
        <w:shd w:val="clear" w:color="ffffff"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4"/>
    <w:basedOn w:val="831"/>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4 - Accent 1"/>
    <w:basedOn w:val="831"/>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sz w:val="22"/>
      </w:rPr>
      <w:pPr>
        <w:pBdr/>
        <w:spacing/>
        <w:ind/>
      </w:pPr>
      <w:tblPr>
        <w:tblBorders/>
      </w:tblPr>
      <w:tcPr>
        <w:shd w:val="clear" w:color="ffffff" w:fill="c2e5f5" w:themeFill="accent1" w:themeFillTint="32"/>
        <w:tcBorders/>
      </w:tcPr>
    </w:tblStylePr>
    <w:tblStylePr w:type="band1Vert">
      <w:rPr>
        <w:sz w:val="22"/>
      </w:rPr>
      <w:pPr>
        <w:pBdr/>
        <w:spacing/>
        <w:ind/>
      </w:pPr>
      <w:tblPr>
        <w:tblBorders/>
      </w:tblPr>
      <w:tcPr>
        <w:shd w:val="clear" w:color="ffffff"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19739b"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 Accent 2"/>
    <w:basedOn w:val="831"/>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sz w:val="22"/>
      </w:rPr>
      <w:pPr>
        <w:pBdr/>
        <w:spacing/>
        <w:ind/>
      </w:pPr>
      <w:tblPr>
        <w:tblBorders/>
      </w:tblPr>
      <w:tcPr>
        <w:shd w:val="clear" w:color="ffffff" w:fill="fbe3d7" w:themeFill="accent2" w:themeFillTint="32"/>
        <w:tcBorders/>
      </w:tcPr>
    </w:tblStylePr>
    <w:tblStylePr w:type="band1Vert">
      <w:rPr>
        <w:sz w:val="22"/>
      </w:rPr>
      <w:pPr>
        <w:pBdr/>
        <w:spacing/>
        <w:ind/>
      </w:pPr>
      <w:tblPr>
        <w:tblBorders/>
      </w:tblPr>
      <w:tcPr>
        <w:shd w:val="clear" w:color="ffffff"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2ab86"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3"/>
    <w:basedOn w:val="831"/>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sz w:val="22"/>
      </w:rPr>
      <w:pPr>
        <w:pBdr/>
        <w:spacing/>
        <w:ind/>
      </w:pPr>
      <w:tblPr>
        <w:tblBorders/>
      </w:tblPr>
      <w:tcPr>
        <w:shd w:val="clear" w:color="ffffff" w:fill="c1f0c7" w:themeFill="accent3" w:themeFillTint="34"/>
        <w:tcBorders/>
      </w:tcPr>
    </w:tblStylePr>
    <w:tblStylePr w:type="band1Vert">
      <w:rPr>
        <w:sz w:val="22"/>
      </w:rPr>
      <w:pPr>
        <w:pBdr/>
        <w:spacing/>
        <w:ind/>
      </w:pPr>
      <w:tblPr>
        <w:tblBorders/>
      </w:tblPr>
      <w:tcPr>
        <w:shd w:val="clear" w:color="ffffff"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196c24"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4"/>
    <w:basedOn w:val="831"/>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sz w:val="22"/>
      </w:rPr>
      <w:pPr>
        <w:pBdr/>
        <w:spacing/>
        <w:ind/>
      </w:pPr>
      <w:tblPr>
        <w:tblBorders/>
      </w:tblPr>
      <w:tcPr>
        <w:shd w:val="clear" w:color="ffffff" w:fill="c9edfb" w:themeFill="accent4" w:themeFillTint="34"/>
        <w:tcBorders/>
      </w:tcPr>
    </w:tblStylePr>
    <w:tblStylePr w:type="band1Vert">
      <w:rPr>
        <w:sz w:val="22"/>
      </w:rPr>
      <w:pPr>
        <w:pBdr/>
        <w:spacing/>
        <w:ind/>
      </w:pPr>
      <w:tblPr>
        <w:tblBorders/>
      </w:tblPr>
      <w:tcPr>
        <w:shd w:val="clear" w:color="ffffff"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0cbf4"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5"/>
    <w:basedOn w:val="831"/>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sz w:val="22"/>
      </w:rPr>
      <w:pPr>
        <w:pBdr/>
        <w:spacing/>
        <w:ind/>
      </w:pPr>
      <w:tblPr>
        <w:tblBorders/>
      </w:tblPr>
      <w:tcPr>
        <w:shd w:val="clear" w:color="ffffff" w:fill="f2ceee" w:themeFill="accent5" w:themeFillTint="34"/>
        <w:tcBorders/>
      </w:tcPr>
    </w:tblStylePr>
    <w:tblStylePr w:type="band1Vert">
      <w:rPr>
        <w:sz w:val="22"/>
      </w:rPr>
      <w:pPr>
        <w:pBdr/>
        <w:spacing/>
        <w:ind/>
      </w:pPr>
      <w:tblPr>
        <w:tblBorders/>
      </w:tblPr>
      <w:tcPr>
        <w:shd w:val="clear" w:color="ffffff"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6"/>
    <w:basedOn w:val="831"/>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sz w:val="22"/>
      </w:rPr>
      <w:pPr>
        <w:pBdr/>
        <w:spacing/>
        <w:ind/>
      </w:pPr>
      <w:tblPr>
        <w:tblBorders/>
      </w:tblPr>
      <w:tcPr>
        <w:shd w:val="clear" w:color="ffffff" w:fill="d9f2d0" w:themeFill="accent6" w:themeFillTint="34"/>
        <w:tcBorders/>
      </w:tcPr>
    </w:tblStylePr>
    <w:tblStylePr w:type="band1Vert">
      <w:rPr>
        <w:sz w:val="22"/>
      </w:rPr>
      <w:pPr>
        <w:pBdr/>
        <w:spacing/>
        <w:ind/>
      </w:pPr>
      <w:tblPr>
        <w:tblBorders/>
      </w:tblPr>
      <w:tcPr>
        <w:shd w:val="clear" w:color="ffffff"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5 Dark"/>
    <w:basedOn w:val="83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00000" w:themeFill="text1"/>
        <w:tcBorders/>
      </w:tcPr>
    </w:tblStylePr>
    <w:tblStylePr w:type="firstRow">
      <w:rPr>
        <w:b/>
        <w:sz w:val="22"/>
      </w:rPr>
      <w:pPr>
        <w:pBdr/>
        <w:spacing/>
        <w:ind/>
      </w:pPr>
      <w:tblPr>
        <w:tblBorders/>
      </w:tblPr>
      <w:tcPr>
        <w:shd w:val="clear" w:color="ffffff" w:fill="000000" w:themeFill="text1"/>
        <w:tcBorders/>
      </w:tcPr>
    </w:tblStylePr>
    <w:tblStylePr w:type="lastCol">
      <w:rPr>
        <w:b/>
        <w:sz w:val="22"/>
      </w:rPr>
      <w:pPr>
        <w:pBdr/>
        <w:spacing/>
        <w:ind/>
      </w:pPr>
      <w:tblPr>
        <w:tblBorders/>
      </w:tblPr>
      <w:tcPr>
        <w:shd w:val="clear" w:color="ffffff" w:fill="000000" w:themeFill="text1"/>
        <w:tcBorders/>
      </w:tcPr>
    </w:tblStylePr>
    <w:tblStylePr w:type="lastRow">
      <w:rPr>
        <w:b/>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5 Dark- Accent 1"/>
    <w:basedOn w:val="83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71c3e8" w:themeFill="accent1" w:themeFillTint="75"/>
        <w:tcBorders/>
      </w:tcPr>
    </w:tblStylePr>
    <w:tblStylePr w:type="band1Vert">
      <w:pPr>
        <w:pBdr/>
        <w:spacing/>
        <w:ind/>
      </w:pPr>
      <w:tblPr>
        <w:tblBorders/>
      </w:tblPr>
      <w:tcPr>
        <w:shd w:val="clear" w:color="ffffff"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156082" w:themeFill="accent1"/>
        <w:tcBorders/>
      </w:tcPr>
    </w:tblStylePr>
    <w:tblStylePr w:type="firstRow">
      <w:rPr>
        <w:b/>
        <w:sz w:val="22"/>
      </w:rPr>
      <w:pPr>
        <w:pBdr/>
        <w:spacing/>
        <w:ind/>
      </w:pPr>
      <w:tblPr>
        <w:tblBorders/>
      </w:tblPr>
      <w:tcPr>
        <w:shd w:val="clear" w:color="ffffff" w:fill="156082" w:themeFill="accent1"/>
        <w:tcBorders/>
      </w:tcPr>
    </w:tblStylePr>
    <w:tblStylePr w:type="lastCol">
      <w:rPr>
        <w:b/>
        <w:sz w:val="22"/>
      </w:rPr>
      <w:pPr>
        <w:pBdr/>
        <w:spacing/>
        <w:ind/>
      </w:pPr>
      <w:tblPr>
        <w:tblBorders/>
      </w:tblPr>
      <w:tcPr>
        <w:shd w:val="clear" w:color="ffffff" w:fill="156082" w:themeFill="accent1"/>
        <w:tcBorders/>
      </w:tcPr>
    </w:tblStylePr>
    <w:tblStylePr w:type="lastRow">
      <w:rPr>
        <w:b/>
        <w:sz w:val="22"/>
      </w:rPr>
      <w:pPr>
        <w:pBdr/>
        <w:spacing/>
        <w:ind/>
      </w:pPr>
      <w:tblPr>
        <w:tblBorders/>
      </w:tblPr>
      <w:tcPr>
        <w:shd w:val="clear" w:color="ffffff"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 Accent 2"/>
    <w:basedOn w:val="83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5bea1" w:themeFill="accent2" w:themeFillTint="75"/>
        <w:tcBorders/>
      </w:tcPr>
    </w:tblStylePr>
    <w:tblStylePr w:type="band1Vert">
      <w:pPr>
        <w:pBdr/>
        <w:spacing/>
        <w:ind/>
      </w:pPr>
      <w:tblPr>
        <w:tblBorders/>
      </w:tblPr>
      <w:tcPr>
        <w:shd w:val="clear" w:color="ffffff"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97132" w:themeFill="accent2"/>
        <w:tcBorders/>
      </w:tcPr>
    </w:tblStylePr>
    <w:tblStylePr w:type="firstRow">
      <w:rPr>
        <w:b/>
        <w:sz w:val="22"/>
      </w:rPr>
      <w:pPr>
        <w:pBdr/>
        <w:spacing/>
        <w:ind/>
      </w:pPr>
      <w:tblPr>
        <w:tblBorders/>
      </w:tblPr>
      <w:tcPr>
        <w:shd w:val="clear" w:color="ffffff" w:fill="e97132" w:themeFill="accent2"/>
        <w:tcBorders/>
      </w:tcPr>
    </w:tblStylePr>
    <w:tblStylePr w:type="lastCol">
      <w:rPr>
        <w:b/>
        <w:sz w:val="22"/>
      </w:rPr>
      <w:pPr>
        <w:pBdr/>
        <w:spacing/>
        <w:ind/>
      </w:pPr>
      <w:tblPr>
        <w:tblBorders/>
      </w:tblPr>
      <w:tcPr>
        <w:shd w:val="clear" w:color="ffffff" w:fill="e97132" w:themeFill="accent2"/>
        <w:tcBorders/>
      </w:tcPr>
    </w:tblStylePr>
    <w:tblStylePr w:type="lastRow">
      <w:rPr>
        <w:b/>
        <w:sz w:val="22"/>
      </w:rPr>
      <w:pPr>
        <w:pBdr/>
        <w:spacing/>
        <w:ind/>
      </w:pPr>
      <w:tblPr>
        <w:tblBorders/>
      </w:tblPr>
      <w:tcPr>
        <w:shd w:val="clear" w:color="ffffff"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 Accent 3"/>
    <w:basedOn w:val="83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72de81" w:themeFill="accent3" w:themeFillTint="75"/>
        <w:tcBorders/>
      </w:tcPr>
    </w:tblStylePr>
    <w:tblStylePr w:type="band1Vert">
      <w:pPr>
        <w:pBdr/>
        <w:spacing/>
        <w:ind/>
      </w:pPr>
      <w:tblPr>
        <w:tblBorders/>
      </w:tblPr>
      <w:tcPr>
        <w:shd w:val="clear" w:color="ffffff"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196b24" w:themeFill="accent3"/>
        <w:tcBorders/>
      </w:tcPr>
    </w:tblStylePr>
    <w:tblStylePr w:type="firstRow">
      <w:rPr>
        <w:b/>
        <w:sz w:val="22"/>
      </w:rPr>
      <w:pPr>
        <w:pBdr/>
        <w:spacing/>
        <w:ind/>
      </w:pPr>
      <w:tblPr>
        <w:tblBorders/>
      </w:tblPr>
      <w:tcPr>
        <w:shd w:val="clear" w:color="ffffff" w:fill="196b24" w:themeFill="accent3"/>
        <w:tcBorders/>
      </w:tcPr>
    </w:tblStylePr>
    <w:tblStylePr w:type="lastCol">
      <w:rPr>
        <w:b/>
        <w:sz w:val="22"/>
      </w:rPr>
      <w:pPr>
        <w:pBdr/>
        <w:spacing/>
        <w:ind/>
      </w:pPr>
      <w:tblPr>
        <w:tblBorders/>
      </w:tblPr>
      <w:tcPr>
        <w:shd w:val="clear" w:color="ffffff" w:fill="196b24" w:themeFill="accent3"/>
        <w:tcBorders/>
      </w:tcPr>
    </w:tblStylePr>
    <w:tblStylePr w:type="lastRow">
      <w:rPr>
        <w:b/>
        <w:sz w:val="22"/>
      </w:rPr>
      <w:pPr>
        <w:pBdr/>
        <w:spacing/>
        <w:ind/>
      </w:pPr>
      <w:tblPr>
        <w:tblBorders/>
      </w:tblPr>
      <w:tcPr>
        <w:shd w:val="clear" w:color="ffffff"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Accent 4"/>
    <w:basedOn w:val="83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6d7f6" w:themeFill="accent4" w:themeFillTint="75"/>
        <w:tcBorders/>
      </w:tcPr>
    </w:tblStylePr>
    <w:tblStylePr w:type="band1Vert">
      <w:pPr>
        <w:pBdr/>
        <w:spacing/>
        <w:ind/>
      </w:pPr>
      <w:tblPr>
        <w:tblBorders/>
      </w:tblPr>
      <w:tcPr>
        <w:shd w:val="clear" w:color="ffffff"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f9ed5" w:themeFill="accent4"/>
        <w:tcBorders/>
      </w:tcPr>
    </w:tblStylePr>
    <w:tblStylePr w:type="firstRow">
      <w:rPr>
        <w:b/>
        <w:sz w:val="22"/>
      </w:rPr>
      <w:pPr>
        <w:pBdr/>
        <w:spacing/>
        <w:ind/>
      </w:pPr>
      <w:tblPr>
        <w:tblBorders/>
      </w:tblPr>
      <w:tcPr>
        <w:shd w:val="clear" w:color="ffffff" w:fill="0f9ed5" w:themeFill="accent4"/>
        <w:tcBorders/>
      </w:tcPr>
    </w:tblStylePr>
    <w:tblStylePr w:type="lastCol">
      <w:rPr>
        <w:b/>
        <w:sz w:val="22"/>
      </w:rPr>
      <w:pPr>
        <w:pBdr/>
        <w:spacing/>
        <w:ind/>
      </w:pPr>
      <w:tblPr>
        <w:tblBorders/>
      </w:tblPr>
      <w:tcPr>
        <w:shd w:val="clear" w:color="ffffff" w:fill="0f9ed5" w:themeFill="accent4"/>
        <w:tcBorders/>
      </w:tcPr>
    </w:tblStylePr>
    <w:tblStylePr w:type="lastRow">
      <w:rPr>
        <w:b/>
        <w:sz w:val="22"/>
      </w:rPr>
      <w:pPr>
        <w:pBdr/>
        <w:spacing/>
        <w:ind/>
      </w:pPr>
      <w:tblPr>
        <w:tblBorders/>
      </w:tblPr>
      <w:tcPr>
        <w:shd w:val="clear" w:color="ffffff"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5"/>
    <w:basedOn w:val="83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e190d8" w:themeFill="accent5" w:themeFillTint="75"/>
        <w:tcBorders/>
      </w:tcPr>
    </w:tblStylePr>
    <w:tblStylePr w:type="band1Vert">
      <w:pPr>
        <w:pBdr/>
        <w:spacing/>
        <w:ind/>
      </w:pPr>
      <w:tblPr>
        <w:tblBorders/>
      </w:tblPr>
      <w:tcPr>
        <w:shd w:val="clear" w:color="ffffff"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02b93" w:themeFill="accent5"/>
        <w:tcBorders/>
      </w:tcPr>
    </w:tblStylePr>
    <w:tblStylePr w:type="firstRow">
      <w:rPr>
        <w:b/>
        <w:sz w:val="22"/>
      </w:rPr>
      <w:pPr>
        <w:pBdr/>
        <w:spacing/>
        <w:ind/>
      </w:pPr>
      <w:tblPr>
        <w:tblBorders/>
      </w:tblPr>
      <w:tcPr>
        <w:shd w:val="clear" w:color="ffffff" w:fill="a02b93" w:themeFill="accent5"/>
        <w:tcBorders/>
      </w:tcPr>
    </w:tblStylePr>
    <w:tblStylePr w:type="lastCol">
      <w:rPr>
        <w:b/>
        <w:sz w:val="22"/>
      </w:rPr>
      <w:pPr>
        <w:pBdr/>
        <w:spacing/>
        <w:ind/>
      </w:pPr>
      <w:tblPr>
        <w:tblBorders/>
      </w:tblPr>
      <w:tcPr>
        <w:shd w:val="clear" w:color="ffffff" w:fill="a02b93" w:themeFill="accent5"/>
        <w:tcBorders/>
      </w:tcPr>
    </w:tblStylePr>
    <w:tblStylePr w:type="lastRow">
      <w:rPr>
        <w:b/>
        <w:sz w:val="22"/>
      </w:rPr>
      <w:pPr>
        <w:pBdr/>
        <w:spacing/>
        <w:ind/>
      </w:pPr>
      <w:tblPr>
        <w:tblBorders/>
      </w:tblPr>
      <w:tcPr>
        <w:shd w:val="clear" w:color="ffffff"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 Accent 6"/>
    <w:basedOn w:val="83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9e294" w:themeFill="accent6" w:themeFillTint="75"/>
        <w:tcBorders/>
      </w:tcPr>
    </w:tblStylePr>
    <w:tblStylePr w:type="band1Vert">
      <w:pPr>
        <w:pBdr/>
        <w:spacing/>
        <w:ind/>
      </w:pPr>
      <w:tblPr>
        <w:tblBorders/>
      </w:tblPr>
      <w:tcPr>
        <w:shd w:val="clear" w:color="ffffff"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ea72e" w:themeFill="accent6"/>
        <w:tcBorders/>
      </w:tcPr>
    </w:tblStylePr>
    <w:tblStylePr w:type="firstRow">
      <w:rPr>
        <w:b/>
        <w:sz w:val="22"/>
      </w:rPr>
      <w:pPr>
        <w:pBdr/>
        <w:spacing/>
        <w:ind/>
      </w:pPr>
      <w:tblPr>
        <w:tblBorders/>
      </w:tblPr>
      <w:tcPr>
        <w:shd w:val="clear" w:color="ffffff" w:fill="4ea72e" w:themeFill="accent6"/>
        <w:tcBorders/>
      </w:tcPr>
    </w:tblStylePr>
    <w:tblStylePr w:type="lastCol">
      <w:rPr>
        <w:b/>
        <w:sz w:val="22"/>
      </w:rPr>
      <w:pPr>
        <w:pBdr/>
        <w:spacing/>
        <w:ind/>
      </w:pPr>
      <w:tblPr>
        <w:tblBorders/>
      </w:tblPr>
      <w:tcPr>
        <w:shd w:val="clear" w:color="ffffff" w:fill="4ea72e" w:themeFill="accent6"/>
        <w:tcBorders/>
      </w:tcPr>
    </w:tblStylePr>
    <w:tblStylePr w:type="lastRow">
      <w:rPr>
        <w:b/>
        <w:sz w:val="22"/>
      </w:rPr>
      <w:pPr>
        <w:pBdr/>
        <w:spacing/>
        <w:ind/>
      </w:pPr>
      <w:tblPr>
        <w:tblBorders/>
      </w:tblPr>
      <w:tcPr>
        <w:shd w:val="clear" w:color="ffffff"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6 Colorful"/>
    <w:basedOn w:val="831"/>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875">
    <w:name w:val="Grid Table 6 Colorful - Accent 1"/>
    <w:basedOn w:val="831"/>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1b7aa6" w:themeColor="accent1" w:themeTint="80" w:themeShade="95"/>
        <w:sz w:val="22"/>
      </w:rPr>
      <w:pPr>
        <w:pBdr/>
        <w:spacing/>
        <w:ind/>
      </w:pPr>
      <w:tblPr>
        <w:tblBorders/>
      </w:tblPr>
      <w:tcPr>
        <w:shd w:val="clear" w:color="ffffff" w:fill="c0e4f5" w:themeFill="accent1" w:themeFillTint="34"/>
        <w:tcBorders/>
      </w:tcPr>
    </w:tblStylePr>
    <w:tblStylePr w:type="band1Vert">
      <w:pPr>
        <w:pBdr/>
        <w:spacing/>
        <w:ind/>
      </w:pPr>
      <w:tblPr>
        <w:tblBorders/>
      </w:tblPr>
      <w:tcPr>
        <w:shd w:val="clear" w:color="ffffff" w:fill="c0e4f5" w:themeFill="accent1" w:themeFillTint="34"/>
        <w:tcBorders/>
      </w:tcPr>
    </w:tblStylePr>
    <w:tblStylePr w:type="band2Horz">
      <w:rPr>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1b7aa6" w:themeColor="accent1" w:themeTint="80" w:themeShade="95"/>
        <w:sz w:val="22"/>
      </w:rPr>
      <w:pPr>
        <w:pBdr/>
        <w:spacing/>
        <w:ind/>
      </w:pPr>
      <w:tblPr>
        <w:tblBorders/>
      </w:tblPr>
      <w:tcPr>
        <w:tcBorders/>
      </w:tcPr>
    </w:tblStylePr>
  </w:style>
  <w:style w:type="table" w:styleId="876">
    <w:name w:val="Grid Table 6 Colorful - Accent 2"/>
    <w:basedOn w:val="831"/>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65215" w:themeColor="accent2" w:themeTint="97" w:themeShade="95"/>
        <w:sz w:val="22"/>
      </w:rPr>
      <w:pPr>
        <w:pBdr/>
        <w:spacing/>
        <w:ind/>
      </w:pPr>
      <w:tblPr>
        <w:tblBorders/>
      </w:tblPr>
      <w:tcPr>
        <w:shd w:val="clear" w:color="ffffff" w:fill="fbe3d7" w:themeFill="accent2" w:themeFillTint="32"/>
        <w:tcBorders/>
      </w:tcPr>
    </w:tblStylePr>
    <w:tblStylePr w:type="band1Vert">
      <w:pPr>
        <w:pBdr/>
        <w:spacing/>
        <w:ind/>
      </w:pPr>
      <w:tblPr>
        <w:tblBorders/>
      </w:tblPr>
      <w:tcPr>
        <w:shd w:val="clear" w:color="ffffff" w:fill="fbe3d7" w:themeFill="accent2" w:themeFillTint="32"/>
        <w:tcBorders/>
      </w:tcPr>
    </w:tblStylePr>
    <w:tblStylePr w:type="band2Horz">
      <w:rPr>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65215" w:themeColor="accent2" w:themeTint="97" w:themeShade="95"/>
        <w:sz w:val="22"/>
      </w:rPr>
      <w:pPr>
        <w:pBdr/>
        <w:spacing/>
        <w:ind/>
      </w:pPr>
      <w:tblPr>
        <w:tblBorders/>
      </w:tblPr>
      <w:tcPr>
        <w:tcBorders/>
      </w:tcPr>
    </w:tblStylePr>
  </w:style>
  <w:style w:type="table" w:styleId="877">
    <w:name w:val="Grid Table 6 Colorful - Accent 3"/>
    <w:basedOn w:val="831"/>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0f3f15" w:themeColor="accent3" w:themeTint="FE" w:themeShade="95"/>
        <w:sz w:val="22"/>
      </w:rPr>
      <w:pPr>
        <w:pBdr/>
        <w:spacing/>
        <w:ind/>
      </w:pPr>
      <w:tblPr>
        <w:tblBorders/>
      </w:tblPr>
      <w:tcPr>
        <w:shd w:val="clear" w:color="ffffff" w:fill="c1f0c7" w:themeFill="accent3" w:themeFillTint="34"/>
        <w:tcBorders/>
      </w:tcPr>
    </w:tblStylePr>
    <w:tblStylePr w:type="band1Vert">
      <w:pPr>
        <w:pBdr/>
        <w:spacing/>
        <w:ind/>
      </w:pPr>
      <w:tblPr>
        <w:tblBorders/>
      </w:tblPr>
      <w:tcPr>
        <w:shd w:val="clear" w:color="ffffff" w:fill="c1f0c7" w:themeFill="accent3" w:themeFillTint="34"/>
        <w:tcBorders/>
      </w:tcPr>
    </w:tblStylePr>
    <w:tblStylePr w:type="band2Horz">
      <w:rPr>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0f3f15" w:themeColor="accent3" w:themeTint="FE" w:themeShade="95"/>
        <w:sz w:val="22"/>
      </w:rPr>
      <w:pPr>
        <w:pBdr/>
        <w:spacing/>
        <w:ind/>
      </w:pPr>
      <w:tblPr>
        <w:tblBorders/>
      </w:tblPr>
      <w:tcPr>
        <w:tcBorders/>
      </w:tcPr>
    </w:tblStylePr>
  </w:style>
  <w:style w:type="table" w:styleId="878">
    <w:name w:val="Grid Table 6 Colorful - Accent 4"/>
    <w:basedOn w:val="831"/>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0d8aba" w:themeColor="accent4" w:themeTint="9A" w:themeShade="95"/>
        <w:sz w:val="22"/>
      </w:rPr>
      <w:pPr>
        <w:pBdr/>
        <w:spacing/>
        <w:ind/>
      </w:pPr>
      <w:tblPr>
        <w:tblBorders/>
      </w:tblPr>
      <w:tcPr>
        <w:shd w:val="clear" w:color="ffffff" w:fill="c9edfb" w:themeFill="accent4" w:themeFillTint="34"/>
        <w:tcBorders/>
      </w:tcPr>
    </w:tblStylePr>
    <w:tblStylePr w:type="band1Vert">
      <w:pPr>
        <w:pBdr/>
        <w:spacing/>
        <w:ind/>
      </w:pPr>
      <w:tblPr>
        <w:tblBorders/>
      </w:tblPr>
      <w:tcPr>
        <w:shd w:val="clear" w:color="ffffff" w:fill="c9edfb" w:themeFill="accent4" w:themeFillTint="34"/>
        <w:tcBorders/>
      </w:tcPr>
    </w:tblStylePr>
    <w:tblStylePr w:type="band2Horz">
      <w:rPr>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0d8aba" w:themeColor="accent4" w:themeTint="9A" w:themeShade="95"/>
        <w:sz w:val="22"/>
      </w:rPr>
      <w:pPr>
        <w:pBdr/>
        <w:spacing/>
        <w:ind/>
      </w:pPr>
      <w:tblPr>
        <w:tblBorders/>
      </w:tblPr>
      <w:tcPr>
        <w:tcBorders/>
      </w:tcPr>
    </w:tblStylePr>
  </w:style>
  <w:style w:type="table" w:styleId="879">
    <w:name w:val="Grid Table 6 Colorful - Accent 5"/>
    <w:basedOn w:val="831"/>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5d1956" w:themeColor="accent5" w:themeShade="95"/>
        <w:sz w:val="22"/>
      </w:rPr>
      <w:pPr>
        <w:pBdr/>
        <w:spacing/>
        <w:ind/>
      </w:pPr>
      <w:tblPr>
        <w:tblBorders/>
      </w:tblPr>
      <w:tcPr>
        <w:shd w:val="clear" w:color="ffffff" w:fill="f2ceee" w:themeFill="accent5" w:themeFillTint="34"/>
        <w:tcBorders/>
      </w:tcPr>
    </w:tblStylePr>
    <w:tblStylePr w:type="band1Vert">
      <w:pPr>
        <w:pBdr/>
        <w:spacing/>
        <w:ind/>
      </w:pPr>
      <w:tblPr>
        <w:tblBorders/>
      </w:tblPr>
      <w:tcPr>
        <w:shd w:val="clear" w:color="ffffff" w:fill="f2ceee" w:themeFill="accent5" w:themeFillTint="34"/>
        <w:tcBorders/>
      </w:tcPr>
    </w:tblStylePr>
    <w:tblStylePr w:type="band2Horz">
      <w:rPr>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5d1956" w:themeColor="accent5" w:themeShade="95"/>
        <w:sz w:val="22"/>
      </w:rPr>
      <w:pPr>
        <w:pBdr/>
        <w:spacing/>
        <w:ind/>
      </w:pPr>
      <w:tblPr>
        <w:tblBorders/>
      </w:tblPr>
      <w:tcPr>
        <w:tcBorders/>
      </w:tcPr>
    </w:tblStylePr>
  </w:style>
  <w:style w:type="table" w:styleId="880">
    <w:name w:val="Grid Table 6 Colorful - Accent 6"/>
    <w:basedOn w:val="831"/>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5d1956" w:themeColor="accent5" w:themeShade="95"/>
        <w:sz w:val="22"/>
      </w:rPr>
      <w:pPr>
        <w:pBdr/>
        <w:spacing/>
        <w:ind/>
      </w:pPr>
      <w:tblPr>
        <w:tblBorders/>
      </w:tblPr>
      <w:tcPr>
        <w:shd w:val="clear" w:color="ffffff" w:fill="d9f2d0" w:themeFill="accent6" w:themeFillTint="34"/>
        <w:tcBorders/>
      </w:tcPr>
    </w:tblStylePr>
    <w:tblStylePr w:type="band1Vert">
      <w:pPr>
        <w:pBdr/>
        <w:spacing/>
        <w:ind/>
      </w:pPr>
      <w:tblPr>
        <w:tblBorders/>
      </w:tblPr>
      <w:tcPr>
        <w:shd w:val="clear" w:color="ffffff" w:fill="d9f2d0" w:themeFill="accent6" w:themeFillTint="34"/>
        <w:tcBorders/>
      </w:tcPr>
    </w:tblStylePr>
    <w:tblStylePr w:type="band2Horz">
      <w:rPr>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5d1956" w:themeColor="accent5" w:themeShade="95"/>
        <w:sz w:val="22"/>
      </w:rPr>
      <w:pPr>
        <w:pBdr/>
        <w:spacing/>
        <w:ind/>
      </w:pPr>
      <w:tblPr>
        <w:tblBorders/>
      </w:tblPr>
      <w:tcPr>
        <w:tcBorders/>
      </w:tcPr>
    </w:tblStylePr>
  </w:style>
  <w:style w:type="table" w:styleId="881">
    <w:name w:val="Grid Table 7 Colorful"/>
    <w:basedOn w:val="831"/>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7 Colorful - Accent 1"/>
    <w:basedOn w:val="831"/>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1b7aa6" w:themeColor="accent1" w:themeTint="80" w:themeShade="95"/>
        <w:sz w:val="22"/>
      </w:rPr>
      <w:pPr>
        <w:pBdr/>
        <w:spacing/>
        <w:ind/>
      </w:pPr>
      <w:tblPr>
        <w:tblBorders/>
      </w:tblPr>
      <w:tcPr>
        <w:shd w:val="clear" w:color="ffffff" w:fill="c0e4f5" w:themeFill="accent1" w:themeFillTint="34"/>
        <w:tcBorders/>
      </w:tcPr>
    </w:tblStylePr>
    <w:tblStylePr w:type="band1Vert">
      <w:pPr>
        <w:pBdr/>
        <w:spacing/>
        <w:ind/>
      </w:pPr>
      <w:tblPr>
        <w:tblBorders/>
      </w:tblPr>
      <w:tcPr>
        <w:shd w:val="clear" w:color="ffffff" w:fill="c0e4f5" w:themeFill="accent1" w:themeFillTint="34"/>
        <w:tcBorders/>
      </w:tcPr>
    </w:tblStylePr>
    <w:tblStylePr w:type="band2Horz">
      <w:rPr>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1b7aa6"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1b7aa6"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1b7aa6"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1b7aa6"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7 Colorful - Accent 2"/>
    <w:basedOn w:val="831"/>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65215" w:themeColor="accent2" w:themeTint="97" w:themeShade="95"/>
        <w:sz w:val="22"/>
      </w:rPr>
      <w:pPr>
        <w:pBdr/>
        <w:spacing/>
        <w:ind/>
      </w:pPr>
      <w:tblPr>
        <w:tblBorders/>
      </w:tblPr>
      <w:tcPr>
        <w:shd w:val="clear" w:color="ffffff" w:fill="fbe3d7" w:themeFill="accent2" w:themeFillTint="32"/>
        <w:tcBorders/>
      </w:tcPr>
    </w:tblStylePr>
    <w:tblStylePr w:type="band1Vert">
      <w:pPr>
        <w:pBdr/>
        <w:spacing/>
        <w:ind/>
      </w:pPr>
      <w:tblPr>
        <w:tblBorders/>
      </w:tblPr>
      <w:tcPr>
        <w:shd w:val="clear" w:color="ffffff" w:fill="fbe3d7" w:themeFill="accent2" w:themeFillTint="32"/>
        <w:tcBorders/>
      </w:tcPr>
    </w:tblStylePr>
    <w:tblStylePr w:type="band2Horz">
      <w:rPr>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c65215"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65215"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c65215"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3"/>
    <w:basedOn w:val="831"/>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0f3f15" w:themeColor="accent3" w:themeTint="FE" w:themeShade="95"/>
        <w:sz w:val="22"/>
      </w:rPr>
      <w:pPr>
        <w:pBdr/>
        <w:spacing/>
        <w:ind/>
      </w:pPr>
      <w:tblPr>
        <w:tblBorders/>
      </w:tblPr>
      <w:tcPr>
        <w:shd w:val="clear" w:color="ffffff" w:fill="c1f0c7" w:themeFill="accent3" w:themeFillTint="34"/>
        <w:tcBorders/>
      </w:tcPr>
    </w:tblStylePr>
    <w:tblStylePr w:type="band1Vert">
      <w:pPr>
        <w:pBdr/>
        <w:spacing/>
        <w:ind/>
      </w:pPr>
      <w:tblPr>
        <w:tblBorders/>
      </w:tblPr>
      <w:tcPr>
        <w:shd w:val="clear" w:color="ffffff" w:fill="c1f0c7" w:themeFill="accent3" w:themeFillTint="34"/>
        <w:tcBorders/>
      </w:tcPr>
    </w:tblStylePr>
    <w:tblStylePr w:type="band2Horz">
      <w:rPr>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0f3f15"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0f3f15"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0f3f15"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0f3f15"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4"/>
    <w:basedOn w:val="831"/>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0d8aba" w:themeColor="accent4" w:themeTint="9A" w:themeShade="95"/>
        <w:sz w:val="22"/>
      </w:rPr>
      <w:pPr>
        <w:pBdr/>
        <w:spacing/>
        <w:ind/>
      </w:pPr>
      <w:tblPr>
        <w:tblBorders/>
      </w:tblPr>
      <w:tcPr>
        <w:shd w:val="clear" w:color="ffffff" w:fill="c9edfb" w:themeFill="accent4" w:themeFillTint="34"/>
        <w:tcBorders/>
      </w:tcPr>
    </w:tblStylePr>
    <w:tblStylePr w:type="band1Vert">
      <w:pPr>
        <w:pBdr/>
        <w:spacing/>
        <w:ind/>
      </w:pPr>
      <w:tblPr>
        <w:tblBorders/>
      </w:tblPr>
      <w:tcPr>
        <w:shd w:val="clear" w:color="ffffff" w:fill="c9edfb" w:themeFill="accent4" w:themeFillTint="34"/>
        <w:tcBorders/>
      </w:tcPr>
    </w:tblStylePr>
    <w:tblStylePr w:type="band2Horz">
      <w:rPr>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0d8aba"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0d8aba"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0d8aba"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5"/>
    <w:basedOn w:val="831"/>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5d1956" w:themeColor="accent5" w:themeShade="95"/>
        <w:sz w:val="22"/>
      </w:rPr>
      <w:pPr>
        <w:pBdr/>
        <w:spacing/>
        <w:ind/>
      </w:pPr>
      <w:tblPr>
        <w:tblBorders/>
      </w:tblPr>
      <w:tcPr>
        <w:shd w:val="clear" w:color="ffffff" w:fill="f2ceee" w:themeFill="accent5" w:themeFillTint="34"/>
        <w:tcBorders/>
      </w:tcPr>
    </w:tblStylePr>
    <w:tblStylePr w:type="band1Vert">
      <w:pPr>
        <w:pBdr/>
        <w:spacing/>
        <w:ind/>
      </w:pPr>
      <w:tblPr>
        <w:tblBorders/>
      </w:tblPr>
      <w:tcPr>
        <w:shd w:val="clear" w:color="ffffff" w:fill="f2ceee" w:themeFill="accent5" w:themeFillTint="34"/>
        <w:tcBorders/>
      </w:tcPr>
    </w:tblStylePr>
    <w:tblStylePr w:type="band2Horz">
      <w:rPr>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d1956"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5d1956"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5d1956"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5d1956"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6"/>
    <w:basedOn w:val="831"/>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2e621b" w:themeColor="accent6" w:themeShade="95"/>
        <w:sz w:val="22"/>
      </w:rPr>
      <w:pPr>
        <w:pBdr/>
        <w:spacing/>
        <w:ind/>
      </w:pPr>
      <w:tblPr>
        <w:tblBorders/>
      </w:tblPr>
      <w:tcPr>
        <w:shd w:val="clear" w:color="ffffff" w:fill="d9f2d0" w:themeFill="accent6" w:themeFillTint="34"/>
        <w:tcBorders/>
      </w:tcPr>
    </w:tblStylePr>
    <w:tblStylePr w:type="band1Vert">
      <w:pPr>
        <w:pBdr/>
        <w:spacing/>
        <w:ind/>
      </w:pPr>
      <w:tblPr>
        <w:tblBorders/>
      </w:tblPr>
      <w:tcPr>
        <w:shd w:val="clear" w:color="ffffff" w:fill="d9f2d0" w:themeFill="accent6" w:themeFillTint="34"/>
        <w:tcBorders/>
      </w:tcPr>
    </w:tblStylePr>
    <w:tblStylePr w:type="band2Horz">
      <w:rPr>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e621b"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2e621b"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2e621b"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2e621b"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w:basedOn w:val="83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1 Light - Accent 1"/>
    <w:basedOn w:val="83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1def2" w:themeFill="accent1" w:themeFillTint="40"/>
        <w:tcBorders/>
      </w:tcPr>
    </w:tblStylePr>
    <w:tblStylePr w:type="band1Vert">
      <w:pPr>
        <w:pBdr/>
        <w:spacing/>
        <w:ind/>
      </w:pPr>
      <w:tblPr>
        <w:tblBorders/>
      </w:tblPr>
      <w:tcPr>
        <w:shd w:val="clear" w:color="ffffff"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 Accent 2"/>
    <w:basedOn w:val="83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9dbcc" w:themeFill="accent2" w:themeFillTint="40"/>
        <w:tcBorders/>
      </w:tcPr>
    </w:tblStylePr>
    <w:tblStylePr w:type="band1Vert">
      <w:pPr>
        <w:pBdr/>
        <w:spacing/>
        <w:ind/>
      </w:pPr>
      <w:tblPr>
        <w:tblBorders/>
      </w:tblPr>
      <w:tcPr>
        <w:shd w:val="clear" w:color="ffffff"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3"/>
    <w:basedOn w:val="83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2edba" w:themeFill="accent3" w:themeFillTint="40"/>
        <w:tcBorders/>
      </w:tcPr>
    </w:tblStylePr>
    <w:tblStylePr w:type="band1Vert">
      <w:pPr>
        <w:pBdr/>
        <w:spacing/>
        <w:ind/>
      </w:pPr>
      <w:tblPr>
        <w:tblBorders/>
      </w:tblPr>
      <w:tcPr>
        <w:shd w:val="clear" w:color="ffffff"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4"/>
    <w:basedOn w:val="83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de9fa" w:themeFill="accent4" w:themeFillTint="40"/>
        <w:tcBorders/>
      </w:tcPr>
    </w:tblStylePr>
    <w:tblStylePr w:type="band1Vert">
      <w:pPr>
        <w:pBdr/>
        <w:spacing/>
        <w:ind/>
      </w:pPr>
      <w:tblPr>
        <w:tblBorders/>
      </w:tblPr>
      <w:tcPr>
        <w:shd w:val="clear" w:color="ffffff"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5"/>
    <w:basedOn w:val="83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fc2ea" w:themeFill="accent5" w:themeFillTint="40"/>
        <w:tcBorders/>
      </w:tcPr>
    </w:tblStylePr>
    <w:tblStylePr w:type="band1Vert">
      <w:pPr>
        <w:pBdr/>
        <w:spacing/>
        <w:ind/>
      </w:pPr>
      <w:tblPr>
        <w:tblBorders/>
      </w:tblPr>
      <w:tcPr>
        <w:shd w:val="clear" w:color="ffffff"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6"/>
    <w:basedOn w:val="83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0efc5" w:themeFill="accent6" w:themeFillTint="40"/>
        <w:tcBorders/>
      </w:tcPr>
    </w:tblStylePr>
    <w:tblStylePr w:type="band1Vert">
      <w:pPr>
        <w:pBdr/>
        <w:spacing/>
        <w:ind/>
      </w:pPr>
      <w:tblPr>
        <w:tblBorders/>
      </w:tblPr>
      <w:tcPr>
        <w:shd w:val="clear" w:color="ffffff"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w:basedOn w:val="831"/>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1"/>
    <w:basedOn w:val="831"/>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b1def2" w:themeFill="accent1" w:themeFillTint="40"/>
        <w:tcBorders/>
      </w:tcPr>
    </w:tblStylePr>
    <w:tblStylePr w:type="band1Vert">
      <w:rPr>
        <w:sz w:val="22"/>
      </w:rPr>
      <w:pPr>
        <w:pBdr/>
        <w:spacing/>
        <w:ind/>
      </w:pPr>
      <w:tblPr>
        <w:tblBorders/>
      </w:tblPr>
      <w:tcPr>
        <w:shd w:val="clear" w:color="ffffff"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 Accent 2"/>
    <w:basedOn w:val="831"/>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9dbcc" w:themeFill="accent2" w:themeFillTint="40"/>
        <w:tcBorders/>
      </w:tcPr>
    </w:tblStylePr>
    <w:tblStylePr w:type="band1Vert">
      <w:rPr>
        <w:sz w:val="22"/>
      </w:rPr>
      <w:pPr>
        <w:pBdr/>
        <w:spacing/>
        <w:ind/>
      </w:pPr>
      <w:tblPr>
        <w:tblBorders/>
      </w:tblPr>
      <w:tcPr>
        <w:shd w:val="clear" w:color="ffffff"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3"/>
    <w:basedOn w:val="831"/>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b2edba" w:themeFill="accent3" w:themeFillTint="40"/>
        <w:tcBorders/>
      </w:tcPr>
    </w:tblStylePr>
    <w:tblStylePr w:type="band1Vert">
      <w:rPr>
        <w:sz w:val="22"/>
      </w:rPr>
      <w:pPr>
        <w:pBdr/>
        <w:spacing/>
        <w:ind/>
      </w:pPr>
      <w:tblPr>
        <w:tblBorders/>
      </w:tblPr>
      <w:tcPr>
        <w:shd w:val="clear" w:color="ffffff"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4"/>
    <w:basedOn w:val="831"/>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bde9fa" w:themeFill="accent4" w:themeFillTint="40"/>
        <w:tcBorders/>
      </w:tcPr>
    </w:tblStylePr>
    <w:tblStylePr w:type="band1Vert">
      <w:rPr>
        <w:sz w:val="22"/>
      </w:rPr>
      <w:pPr>
        <w:pBdr/>
        <w:spacing/>
        <w:ind/>
      </w:pPr>
      <w:tblPr>
        <w:tblBorders/>
      </w:tblPr>
      <w:tcPr>
        <w:shd w:val="clear" w:color="ffffff"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5"/>
    <w:basedOn w:val="831"/>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efc2ea" w:themeFill="accent5" w:themeFillTint="40"/>
        <w:tcBorders/>
      </w:tcPr>
    </w:tblStylePr>
    <w:tblStylePr w:type="band1Vert">
      <w:rPr>
        <w:sz w:val="22"/>
      </w:rPr>
      <w:pPr>
        <w:pBdr/>
        <w:spacing/>
        <w:ind/>
      </w:pPr>
      <w:tblPr>
        <w:tblBorders/>
      </w:tblPr>
      <w:tcPr>
        <w:shd w:val="clear" w:color="ffffff"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6"/>
    <w:basedOn w:val="831"/>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0efc5" w:themeFill="accent6" w:themeFillTint="40"/>
        <w:tcBorders/>
      </w:tcPr>
    </w:tblStylePr>
    <w:tblStylePr w:type="band1Vert">
      <w:rPr>
        <w:sz w:val="22"/>
      </w:rPr>
      <w:pPr>
        <w:pBdr/>
        <w:spacing/>
        <w:ind/>
      </w:pPr>
      <w:tblPr>
        <w:tblBorders/>
      </w:tblPr>
      <w:tcPr>
        <w:shd w:val="clear" w:color="ffffff"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w:basedOn w:val="83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1"/>
    <w:basedOn w:val="831"/>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sz w:val="22"/>
      </w:rPr>
      <w:pPr>
        <w:pBdr/>
        <w:spacing/>
        <w:ind/>
      </w:pPr>
      <w:tblPr>
        <w:tblBorders/>
      </w:tblPr>
      <w:tcPr>
        <w:tcBorders>
          <w:top w:val="single" w:color="000000" w:themeColor="accent1" w:sz="4" w:space="0"/>
          <w:bottom w:val="single" w:color="000000" w:themeColor="accent1" w:sz="4" w:space="0"/>
        </w:tcBorders>
      </w:tcPr>
    </w:tblStylePr>
    <w:tblStylePr w:type="band1Vert">
      <w:rPr>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156082"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 Accent 2"/>
    <w:basedOn w:val="831"/>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sz w:val="22"/>
      </w:rPr>
      <w:pPr>
        <w:pBdr/>
        <w:spacing/>
        <w:ind/>
      </w:pPr>
      <w:tblPr>
        <w:tblBorders/>
      </w:tblPr>
      <w:tcPr>
        <w:tcBorders>
          <w:top w:val="single" w:color="000000" w:themeColor="accent2" w:sz="4" w:space="0"/>
          <w:bottom w:val="single" w:color="000000" w:themeColor="accent2" w:sz="4" w:space="0"/>
        </w:tcBorders>
      </w:tcPr>
    </w:tblStylePr>
    <w:tblStylePr w:type="band1Vert">
      <w:rPr>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2ab86"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3"/>
    <w:basedOn w:val="831"/>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sz w:val="22"/>
      </w:rPr>
      <w:pPr>
        <w:pBdr/>
        <w:spacing/>
        <w:ind/>
      </w:pPr>
      <w:tblPr>
        <w:tblBorders/>
      </w:tblPr>
      <w:tcPr>
        <w:tcBorders>
          <w:top w:val="single" w:color="000000" w:themeColor="accent3" w:sz="4" w:space="0"/>
          <w:bottom w:val="single" w:color="000000" w:themeColor="accent3" w:sz="4" w:space="0"/>
        </w:tcBorders>
      </w:tcPr>
    </w:tblStylePr>
    <w:tblStylePr w:type="band1Vert">
      <w:rPr>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8d45b"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4"/>
    <w:basedOn w:val="831"/>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sz w:val="22"/>
      </w:rPr>
      <w:pPr>
        <w:pBdr/>
        <w:spacing/>
        <w:ind/>
      </w:pPr>
      <w:tblPr>
        <w:tblBorders/>
      </w:tblPr>
      <w:tcPr>
        <w:tcBorders>
          <w:top w:val="single" w:color="000000" w:themeColor="accent4" w:sz="4" w:space="0"/>
          <w:bottom w:val="single" w:color="000000" w:themeColor="accent4" w:sz="4" w:space="0"/>
        </w:tcBorders>
      </w:tcPr>
    </w:tblStylePr>
    <w:tblStylePr w:type="band1Vert">
      <w:rPr>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0cbf4"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5"/>
    <w:basedOn w:val="831"/>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sz w:val="22"/>
      </w:rPr>
      <w:pPr>
        <w:pBdr/>
        <w:spacing/>
        <w:ind/>
      </w:pPr>
      <w:tblPr>
        <w:tblBorders/>
      </w:tblPr>
      <w:tcPr>
        <w:tcBorders>
          <w:top w:val="single" w:color="000000" w:themeColor="accent5" w:sz="4" w:space="0"/>
          <w:bottom w:val="single" w:color="000000" w:themeColor="accent5" w:sz="4" w:space="0"/>
        </w:tcBorders>
      </w:tcPr>
    </w:tblStylePr>
    <w:tblStylePr w:type="band1Vert">
      <w:rPr>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d86dcc"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6"/>
    <w:basedOn w:val="831"/>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sz w:val="22"/>
      </w:rPr>
      <w:pPr>
        <w:pBdr/>
        <w:spacing/>
        <w:ind/>
      </w:pPr>
      <w:tblPr>
        <w:tblBorders/>
      </w:tblPr>
      <w:tcPr>
        <w:tcBorders>
          <w:top w:val="single" w:color="000000" w:themeColor="accent6" w:sz="4" w:space="0"/>
          <w:bottom w:val="single" w:color="000000" w:themeColor="accent6" w:sz="4" w:space="0"/>
        </w:tcBorders>
      </w:tcPr>
    </w:tblStylePr>
    <w:tblStylePr w:type="band1Vert">
      <w:rPr>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fd974"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w:basedOn w:val="83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4 - Accent 1"/>
    <w:basedOn w:val="831"/>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b1def2" w:themeFill="accent1" w:themeFillTint="40"/>
        <w:tcBorders/>
      </w:tcPr>
    </w:tblStylePr>
    <w:tblStylePr w:type="band1Vert">
      <w:rPr>
        <w:sz w:val="22"/>
      </w:rPr>
      <w:pPr>
        <w:pBdr/>
        <w:spacing/>
        <w:ind/>
      </w:pPr>
      <w:tblPr>
        <w:tblBorders/>
      </w:tblPr>
      <w:tcPr>
        <w:shd w:val="clear" w:color="ffffff"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156082"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 Accent 2"/>
    <w:basedOn w:val="831"/>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9dbcc" w:themeFill="accent2" w:themeFillTint="40"/>
        <w:tcBorders/>
      </w:tcPr>
    </w:tblStylePr>
    <w:tblStylePr w:type="band1Vert">
      <w:rPr>
        <w:sz w:val="22"/>
      </w:rPr>
      <w:pPr>
        <w:pBdr/>
        <w:spacing/>
        <w:ind/>
      </w:pPr>
      <w:tblPr>
        <w:tblBorders/>
      </w:tblPr>
      <w:tcPr>
        <w:shd w:val="clear" w:color="ffffff"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97132"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3"/>
    <w:basedOn w:val="831"/>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b2edba" w:themeFill="accent3" w:themeFillTint="40"/>
        <w:tcBorders/>
      </w:tcPr>
    </w:tblStylePr>
    <w:tblStylePr w:type="band1Vert">
      <w:rPr>
        <w:sz w:val="22"/>
      </w:rPr>
      <w:pPr>
        <w:pBdr/>
        <w:spacing/>
        <w:ind/>
      </w:pPr>
      <w:tblPr>
        <w:tblBorders/>
      </w:tblPr>
      <w:tcPr>
        <w:shd w:val="clear" w:color="ffffff"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196b24"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4"/>
    <w:basedOn w:val="831"/>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bde9fa" w:themeFill="accent4" w:themeFillTint="40"/>
        <w:tcBorders/>
      </w:tcPr>
    </w:tblStylePr>
    <w:tblStylePr w:type="band1Vert">
      <w:rPr>
        <w:sz w:val="22"/>
      </w:rPr>
      <w:pPr>
        <w:pBdr/>
        <w:spacing/>
        <w:ind/>
      </w:pPr>
      <w:tblPr>
        <w:tblBorders/>
      </w:tblPr>
      <w:tcPr>
        <w:shd w:val="clear" w:color="ffffff"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f9ed5"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5"/>
    <w:basedOn w:val="831"/>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efc2ea" w:themeFill="accent5" w:themeFillTint="40"/>
        <w:tcBorders/>
      </w:tcPr>
    </w:tblStylePr>
    <w:tblStylePr w:type="band1Vert">
      <w:rPr>
        <w:sz w:val="22"/>
      </w:rPr>
      <w:pPr>
        <w:pBdr/>
        <w:spacing/>
        <w:ind/>
      </w:pPr>
      <w:tblPr>
        <w:tblBorders/>
      </w:tblPr>
      <w:tcPr>
        <w:shd w:val="clear" w:color="ffffff"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02b93"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6"/>
    <w:basedOn w:val="831"/>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0efc5" w:themeFill="accent6" w:themeFillTint="40"/>
        <w:tcBorders/>
      </w:tcPr>
    </w:tblStylePr>
    <w:tblStylePr w:type="band1Vert">
      <w:rPr>
        <w:sz w:val="22"/>
      </w:rPr>
      <w:pPr>
        <w:pBdr/>
        <w:spacing/>
        <w:ind/>
      </w:pPr>
      <w:tblPr>
        <w:tblBorders/>
      </w:tblPr>
      <w:tcPr>
        <w:shd w:val="clear" w:color="ffffff"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ea72e"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5 Dark"/>
    <w:basedOn w:val="831"/>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7">
    <w:name w:val="List Table 5 Dark - Accent 1"/>
    <w:basedOn w:val="831"/>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8">
    <w:name w:val="List Table 5 Dark - Accent 2"/>
    <w:basedOn w:val="831"/>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2ab86"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9">
    <w:name w:val="List Table 5 Dark - Accent 3"/>
    <w:basedOn w:val="831"/>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48d45b"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20">
    <w:name w:val="List Table 5 Dark - Accent 4"/>
    <w:basedOn w:val="831"/>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60cbf4"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21">
    <w:name w:val="List Table 5 Dark - Accent 5"/>
    <w:basedOn w:val="831"/>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d86dcc"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22">
    <w:name w:val="List Table 5 Dark - Accent 6"/>
    <w:basedOn w:val="831"/>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8fd974"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23">
    <w:name w:val="List Table 6 Colorful"/>
    <w:basedOn w:val="831"/>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00000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6 Colorful - Accent 1"/>
    <w:basedOn w:val="831"/>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0c384c" w:themeColor="accent1" w:themeShade="95"/>
        <w:sz w:val="22"/>
      </w:rPr>
      <w:pPr>
        <w:pBdr/>
        <w:spacing/>
        <w:ind/>
      </w:pPr>
      <w:tblPr>
        <w:tblBorders/>
      </w:tblPr>
      <w:tcPr>
        <w:shd w:val="clear" w:color="ffffff" w:fill="b1def2" w:themeFill="accent1" w:themeFillTint="40"/>
        <w:tcBorders/>
      </w:tcPr>
    </w:tblStylePr>
    <w:tblStylePr w:type="band1Vert">
      <w:pPr>
        <w:pBdr/>
        <w:spacing/>
        <w:ind/>
      </w:pPr>
      <w:tblPr>
        <w:tblBorders/>
      </w:tblPr>
      <w:tcPr>
        <w:shd w:val="clear" w:color="ffffff" w:fill="b1def2" w:themeFill="accent1" w:themeFillTint="40"/>
        <w:tcBorders/>
      </w:tcPr>
    </w:tblStylePr>
    <w:tblStylePr w:type="band2Horz">
      <w:rPr>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6 Colorful - Accent 2"/>
    <w:basedOn w:val="831"/>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c65215" w:themeColor="accent2" w:themeTint="97" w:themeShade="95"/>
        <w:sz w:val="22"/>
      </w:rPr>
      <w:pPr>
        <w:pBdr/>
        <w:spacing/>
        <w:ind/>
      </w:pPr>
      <w:tblPr>
        <w:tblBorders/>
      </w:tblPr>
      <w:tcPr>
        <w:shd w:val="clear" w:color="ffffff" w:fill="f9dbcc" w:themeFill="accent2" w:themeFillTint="40"/>
        <w:tcBorders/>
      </w:tcPr>
    </w:tblStylePr>
    <w:tblStylePr w:type="band1Vert">
      <w:pPr>
        <w:pBdr/>
        <w:spacing/>
        <w:ind/>
      </w:pPr>
      <w:tblPr>
        <w:tblBorders/>
      </w:tblPr>
      <w:tcPr>
        <w:shd w:val="clear" w:color="ffffff" w:fill="f9dbcc" w:themeFill="accent2" w:themeFillTint="40"/>
        <w:tcBorders/>
      </w:tcPr>
    </w:tblStylePr>
    <w:tblStylePr w:type="band2Horz">
      <w:rPr>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3"/>
    <w:basedOn w:val="831"/>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20862e" w:themeColor="accent3" w:themeTint="98" w:themeShade="95"/>
        <w:sz w:val="22"/>
      </w:rPr>
      <w:pPr>
        <w:pBdr/>
        <w:spacing/>
        <w:ind/>
      </w:pPr>
      <w:tblPr>
        <w:tblBorders/>
      </w:tblPr>
      <w:tcPr>
        <w:shd w:val="clear" w:color="ffffff" w:fill="b2edba" w:themeFill="accent3" w:themeFillTint="40"/>
        <w:tcBorders/>
      </w:tcPr>
    </w:tblStylePr>
    <w:tblStylePr w:type="band1Vert">
      <w:pPr>
        <w:pBdr/>
        <w:spacing/>
        <w:ind/>
      </w:pPr>
      <w:tblPr>
        <w:tblBorders/>
      </w:tblPr>
      <w:tcPr>
        <w:shd w:val="clear" w:color="ffffff" w:fill="b2edba" w:themeFill="accent3" w:themeFillTint="40"/>
        <w:tcBorders/>
      </w:tcPr>
    </w:tblStylePr>
    <w:tblStylePr w:type="band2Horz">
      <w:rPr>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4"/>
    <w:basedOn w:val="831"/>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0d8aba" w:themeColor="accent4" w:themeTint="9A" w:themeShade="95"/>
        <w:sz w:val="22"/>
      </w:rPr>
      <w:pPr>
        <w:pBdr/>
        <w:spacing/>
        <w:ind/>
      </w:pPr>
      <w:tblPr>
        <w:tblBorders/>
      </w:tblPr>
      <w:tcPr>
        <w:shd w:val="clear" w:color="ffffff" w:fill="bde9fa" w:themeFill="accent4" w:themeFillTint="40"/>
        <w:tcBorders/>
      </w:tcPr>
    </w:tblStylePr>
    <w:tblStylePr w:type="band1Vert">
      <w:pPr>
        <w:pBdr/>
        <w:spacing/>
        <w:ind/>
      </w:pPr>
      <w:tblPr>
        <w:tblBorders/>
      </w:tblPr>
      <w:tcPr>
        <w:shd w:val="clear" w:color="ffffff" w:fill="bde9fa" w:themeFill="accent4" w:themeFillTint="40"/>
        <w:tcBorders/>
      </w:tcPr>
    </w:tblStylePr>
    <w:tblStylePr w:type="band2Horz">
      <w:rPr>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5"/>
    <w:basedOn w:val="831"/>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96288a" w:themeColor="accent5" w:themeTint="9A" w:themeShade="95"/>
        <w:sz w:val="22"/>
      </w:rPr>
      <w:pPr>
        <w:pBdr/>
        <w:spacing/>
        <w:ind/>
      </w:pPr>
      <w:tblPr>
        <w:tblBorders/>
      </w:tblPr>
      <w:tcPr>
        <w:shd w:val="clear" w:color="ffffff" w:fill="efc2ea" w:themeFill="accent5" w:themeFillTint="40"/>
        <w:tcBorders/>
      </w:tcPr>
    </w:tblStylePr>
    <w:tblStylePr w:type="band1Vert">
      <w:pPr>
        <w:pBdr/>
        <w:spacing/>
        <w:ind/>
      </w:pPr>
      <w:tblPr>
        <w:tblBorders/>
      </w:tblPr>
      <w:tcPr>
        <w:shd w:val="clear" w:color="ffffff" w:fill="efc2ea" w:themeFill="accent5" w:themeFillTint="40"/>
        <w:tcBorders/>
      </w:tcPr>
    </w:tblStylePr>
    <w:tblStylePr w:type="band2Horz">
      <w:rPr>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6"/>
    <w:basedOn w:val="831"/>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47992a" w:themeColor="accent6" w:themeTint="98" w:themeShade="95"/>
        <w:sz w:val="22"/>
      </w:rPr>
      <w:pPr>
        <w:pBdr/>
        <w:spacing/>
        <w:ind/>
      </w:pPr>
      <w:tblPr>
        <w:tblBorders/>
      </w:tblPr>
      <w:tcPr>
        <w:shd w:val="clear" w:color="ffffff" w:fill="d0efc5" w:themeFill="accent6" w:themeFillTint="40"/>
        <w:tcBorders/>
      </w:tcPr>
    </w:tblStylePr>
    <w:tblStylePr w:type="band1Vert">
      <w:pPr>
        <w:pBdr/>
        <w:spacing/>
        <w:ind/>
      </w:pPr>
      <w:tblPr>
        <w:tblBorders/>
      </w:tblPr>
      <w:tcPr>
        <w:shd w:val="clear" w:color="ffffff" w:fill="d0efc5" w:themeFill="accent6" w:themeFillTint="40"/>
        <w:tcBorders/>
      </w:tcPr>
    </w:tblStylePr>
    <w:tblStylePr w:type="band2Horz">
      <w:rPr>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7 Colorful"/>
    <w:basedOn w:val="831"/>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931">
    <w:name w:val="List Table 7 Colorful - Accent 1"/>
    <w:basedOn w:val="831"/>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0c384c" w:themeColor="accent1" w:themeShade="95"/>
        <w:sz w:val="22"/>
      </w:rPr>
      <w:pPr>
        <w:pBdr/>
        <w:spacing/>
        <w:ind/>
      </w:pPr>
      <w:tblPr>
        <w:tblBorders/>
      </w:tblPr>
      <w:tcPr>
        <w:shd w:val="clear" w:color="ffffff" w:fill="b1def2" w:themeFill="accent1" w:themeFillTint="40"/>
        <w:tcBorders/>
      </w:tcPr>
    </w:tblStylePr>
    <w:tblStylePr w:type="band1Vert">
      <w:pPr>
        <w:pBdr/>
        <w:spacing/>
        <w:ind/>
      </w:pPr>
      <w:tblPr>
        <w:tblBorders/>
      </w:tblPr>
      <w:tcPr>
        <w:shd w:val="clear" w:color="ffffff" w:fill="b1def2" w:themeFill="accent1" w:themeFillTint="40"/>
        <w:tcBorders/>
      </w:tcPr>
    </w:tblStylePr>
    <w:tblStylePr w:type="band2Horz">
      <w:rPr>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0c384c"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0c384c"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0c384c"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0c384c"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0c384c" w:themeColor="accent1" w:themeShade="95"/>
        <w:sz w:val="22"/>
      </w:rPr>
      <w:pPr>
        <w:pBdr/>
        <w:spacing/>
        <w:ind/>
      </w:pPr>
      <w:tblPr>
        <w:tblBorders/>
      </w:tblPr>
      <w:tcPr>
        <w:tcBorders/>
      </w:tcPr>
    </w:tblStylePr>
  </w:style>
  <w:style w:type="table" w:styleId="932">
    <w:name w:val="List Table 7 Colorful - Accent 2"/>
    <w:basedOn w:val="831"/>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c65215" w:themeColor="accent2" w:themeTint="97" w:themeShade="95"/>
        <w:sz w:val="22"/>
      </w:rPr>
      <w:pPr>
        <w:pBdr/>
        <w:spacing/>
        <w:ind/>
      </w:pPr>
      <w:tblPr>
        <w:tblBorders/>
      </w:tblPr>
      <w:tcPr>
        <w:shd w:val="clear" w:color="ffffff" w:fill="f9dbcc" w:themeFill="accent2" w:themeFillTint="40"/>
        <w:tcBorders/>
      </w:tcPr>
    </w:tblStylePr>
    <w:tblStylePr w:type="band1Vert">
      <w:pPr>
        <w:pBdr/>
        <w:spacing/>
        <w:ind/>
      </w:pPr>
      <w:tblPr>
        <w:tblBorders/>
      </w:tblPr>
      <w:tcPr>
        <w:shd w:val="clear" w:color="ffffff" w:fill="f9dbcc" w:themeFill="accent2" w:themeFillTint="40"/>
        <w:tcBorders/>
      </w:tcPr>
    </w:tblStylePr>
    <w:tblStylePr w:type="band2Horz">
      <w:rPr>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c65215"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65215"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c65215"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65215" w:themeColor="accent2" w:themeTint="97" w:themeShade="95"/>
        <w:sz w:val="22"/>
      </w:rPr>
      <w:pPr>
        <w:pBdr/>
        <w:spacing/>
        <w:ind/>
      </w:pPr>
      <w:tblPr>
        <w:tblBorders/>
      </w:tblPr>
      <w:tcPr>
        <w:tcBorders/>
      </w:tcPr>
    </w:tblStylePr>
  </w:style>
  <w:style w:type="table" w:styleId="933">
    <w:name w:val="List Table 7 Colorful - Accent 3"/>
    <w:basedOn w:val="831"/>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20862e" w:themeColor="accent3" w:themeTint="98" w:themeShade="95"/>
        <w:sz w:val="22"/>
      </w:rPr>
      <w:pPr>
        <w:pBdr/>
        <w:spacing/>
        <w:ind/>
      </w:pPr>
      <w:tblPr>
        <w:tblBorders/>
      </w:tblPr>
      <w:tcPr>
        <w:shd w:val="clear" w:color="ffffff" w:fill="b2edba" w:themeFill="accent3" w:themeFillTint="40"/>
        <w:tcBorders/>
      </w:tcPr>
    </w:tblStylePr>
    <w:tblStylePr w:type="band1Vert">
      <w:pPr>
        <w:pBdr/>
        <w:spacing/>
        <w:ind/>
      </w:pPr>
      <w:tblPr>
        <w:tblBorders/>
      </w:tblPr>
      <w:tcPr>
        <w:shd w:val="clear" w:color="ffffff" w:fill="b2edba" w:themeFill="accent3" w:themeFillTint="40"/>
        <w:tcBorders/>
      </w:tcPr>
    </w:tblStylePr>
    <w:tblStylePr w:type="band2Horz">
      <w:rPr>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0862e"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20862e"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20862e"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20862e"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0862e" w:themeColor="accent3" w:themeTint="98" w:themeShade="95"/>
        <w:sz w:val="22"/>
      </w:rPr>
      <w:pPr>
        <w:pBdr/>
        <w:spacing/>
        <w:ind/>
      </w:pPr>
      <w:tblPr>
        <w:tblBorders/>
      </w:tblPr>
      <w:tcPr>
        <w:tcBorders/>
      </w:tcPr>
    </w:tblStylePr>
  </w:style>
  <w:style w:type="table" w:styleId="934">
    <w:name w:val="List Table 7 Colorful - Accent 4"/>
    <w:basedOn w:val="831"/>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0d8aba" w:themeColor="accent4" w:themeTint="9A" w:themeShade="95"/>
        <w:sz w:val="22"/>
      </w:rPr>
      <w:pPr>
        <w:pBdr/>
        <w:spacing/>
        <w:ind/>
      </w:pPr>
      <w:tblPr>
        <w:tblBorders/>
      </w:tblPr>
      <w:tcPr>
        <w:shd w:val="clear" w:color="ffffff" w:fill="bde9fa" w:themeFill="accent4" w:themeFillTint="40"/>
        <w:tcBorders/>
      </w:tcPr>
    </w:tblStylePr>
    <w:tblStylePr w:type="band1Vert">
      <w:pPr>
        <w:pBdr/>
        <w:spacing/>
        <w:ind/>
      </w:pPr>
      <w:tblPr>
        <w:tblBorders/>
      </w:tblPr>
      <w:tcPr>
        <w:shd w:val="clear" w:color="ffffff" w:fill="bde9fa" w:themeFill="accent4" w:themeFillTint="40"/>
        <w:tcBorders/>
      </w:tcPr>
    </w:tblStylePr>
    <w:tblStylePr w:type="band2Horz">
      <w:rPr>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0d8aba"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0d8aba"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0d8aba"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0d8aba" w:themeColor="accent4" w:themeTint="9A" w:themeShade="95"/>
        <w:sz w:val="22"/>
      </w:rPr>
      <w:pPr>
        <w:pBdr/>
        <w:spacing/>
        <w:ind/>
      </w:pPr>
      <w:tblPr>
        <w:tblBorders/>
      </w:tblPr>
      <w:tcPr>
        <w:tcBorders/>
      </w:tcPr>
    </w:tblStylePr>
  </w:style>
  <w:style w:type="table" w:styleId="935">
    <w:name w:val="List Table 7 Colorful - Accent 5"/>
    <w:basedOn w:val="831"/>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96288a" w:themeColor="accent5" w:themeTint="9A" w:themeShade="95"/>
        <w:sz w:val="22"/>
      </w:rPr>
      <w:pPr>
        <w:pBdr/>
        <w:spacing/>
        <w:ind/>
      </w:pPr>
      <w:tblPr>
        <w:tblBorders/>
      </w:tblPr>
      <w:tcPr>
        <w:shd w:val="clear" w:color="ffffff" w:fill="efc2ea" w:themeFill="accent5" w:themeFillTint="40"/>
        <w:tcBorders/>
      </w:tcPr>
    </w:tblStylePr>
    <w:tblStylePr w:type="band1Vert">
      <w:pPr>
        <w:pBdr/>
        <w:spacing/>
        <w:ind/>
      </w:pPr>
      <w:tblPr>
        <w:tblBorders/>
      </w:tblPr>
      <w:tcPr>
        <w:shd w:val="clear" w:color="ffffff" w:fill="efc2ea" w:themeFill="accent5" w:themeFillTint="40"/>
        <w:tcBorders/>
      </w:tcPr>
    </w:tblStylePr>
    <w:tblStylePr w:type="band2Horz">
      <w:rPr>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6288a"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96288a"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96288a"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96288a"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96288a" w:themeColor="accent5" w:themeTint="9A" w:themeShade="95"/>
        <w:sz w:val="22"/>
      </w:rPr>
      <w:pPr>
        <w:pBdr/>
        <w:spacing/>
        <w:ind/>
      </w:pPr>
      <w:tblPr>
        <w:tblBorders/>
      </w:tblPr>
      <w:tcPr>
        <w:tcBorders/>
      </w:tcPr>
    </w:tblStylePr>
  </w:style>
  <w:style w:type="table" w:styleId="936">
    <w:name w:val="List Table 7 Colorful - Accent 6"/>
    <w:basedOn w:val="831"/>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47992a" w:themeColor="accent6" w:themeTint="98" w:themeShade="95"/>
        <w:sz w:val="22"/>
      </w:rPr>
      <w:pPr>
        <w:pBdr/>
        <w:spacing/>
        <w:ind/>
      </w:pPr>
      <w:tblPr>
        <w:tblBorders/>
      </w:tblPr>
      <w:tcPr>
        <w:shd w:val="clear" w:color="ffffff" w:fill="d0efc5" w:themeFill="accent6" w:themeFillTint="40"/>
        <w:tcBorders/>
      </w:tcPr>
    </w:tblStylePr>
    <w:tblStylePr w:type="band1Vert">
      <w:pPr>
        <w:pBdr/>
        <w:spacing/>
        <w:ind/>
      </w:pPr>
      <w:tblPr>
        <w:tblBorders/>
      </w:tblPr>
      <w:tcPr>
        <w:shd w:val="clear" w:color="ffffff" w:fill="d0efc5" w:themeFill="accent6" w:themeFillTint="40"/>
        <w:tcBorders/>
      </w:tcPr>
    </w:tblStylePr>
    <w:tblStylePr w:type="band2Horz">
      <w:rPr>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7992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47992a"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47992a"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47992a"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7992a" w:themeColor="accent6" w:themeTint="98" w:themeShade="95"/>
        <w:sz w:val="22"/>
      </w:rPr>
      <w:pPr>
        <w:pBdr/>
        <w:spacing/>
        <w:ind/>
      </w:pPr>
      <w:tblPr>
        <w:tblBorders/>
      </w:tblPr>
      <w:tcPr>
        <w:tcBorders/>
      </w:tcPr>
    </w:tblStylePr>
  </w:style>
  <w:style w:type="table" w:styleId="937">
    <w:name w:val="Lined - Accent"/>
    <w:basedOn w:val="83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2f2f2" w:themeFill="text1" w:themeFillTint="00"/>
        <w:tcBorders/>
      </w:tcPr>
    </w:tblStylePr>
    <w:tblStylePr w:type="band2Vert">
      <w:rPr>
        <w:sz w:val="22"/>
      </w:rPr>
      <w:pPr>
        <w:pBdr/>
        <w:spacing/>
        <w:ind/>
      </w:pPr>
      <w:tblPr>
        <w:tblBorders/>
      </w:tblPr>
      <w:tcPr>
        <w:shd w:val="clear" w:color="ffffff" w:fill="f2f2f2"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ned - Accent 1"/>
    <w:basedOn w:val="83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9ed6ef" w:themeFill="accent1" w:themeFillTint="50"/>
        <w:tcBorders/>
      </w:tcPr>
    </w:tblStylePr>
    <w:tblStylePr w:type="band2Vert">
      <w:rPr>
        <w:sz w:val="22"/>
      </w:rPr>
      <w:pPr>
        <w:pBdr/>
        <w:spacing/>
        <w:ind/>
      </w:pPr>
      <w:tblPr>
        <w:tblBorders/>
      </w:tblPr>
      <w:tcPr>
        <w:shd w:val="clear" w:color="ffffff" w:fill="9ed6ef" w:themeFill="accent1" w:themeFillTint="50"/>
        <w:tcBorders/>
      </w:tcPr>
    </w:tblStylePr>
    <w:tblStylePr w:type="firstCol">
      <w:rPr>
        <w:sz w:val="22"/>
      </w:rPr>
      <w:pPr>
        <w:pBdr/>
        <w:spacing/>
        <w:ind/>
      </w:pPr>
      <w:tblPr>
        <w:tblBorders/>
      </w:tblPr>
      <w:tcPr>
        <w:shd w:val="clear" w:color="ffffff" w:fill="19739b" w:themeFill="accent1" w:themeFillTint="EA"/>
        <w:tcBorders/>
      </w:tcPr>
    </w:tblStylePr>
    <w:tblStylePr w:type="firstRow">
      <w:rPr>
        <w:sz w:val="22"/>
      </w:rPr>
      <w:pPr>
        <w:pBdr/>
        <w:spacing/>
        <w:ind/>
      </w:pPr>
      <w:tblPr>
        <w:tblBorders/>
      </w:tblPr>
      <w:tcPr>
        <w:shd w:val="clear" w:color="ffffff" w:fill="19739b" w:themeFill="accent1" w:themeFillTint="EA"/>
        <w:tcBorders/>
      </w:tcPr>
    </w:tblStylePr>
    <w:tblStylePr w:type="lastCol">
      <w:rPr>
        <w:sz w:val="22"/>
      </w:rPr>
      <w:pPr>
        <w:pBdr/>
        <w:spacing/>
        <w:ind/>
      </w:pPr>
      <w:tblPr>
        <w:tblBorders/>
      </w:tblPr>
      <w:tcPr>
        <w:shd w:val="clear" w:color="ffffff" w:fill="19739b" w:themeFill="accent1" w:themeFillTint="EA"/>
        <w:tcBorders/>
      </w:tcPr>
    </w:tblStylePr>
    <w:tblStylePr w:type="lastRow">
      <w:rPr>
        <w:sz w:val="22"/>
      </w:rPr>
      <w:pPr>
        <w:pBdr/>
        <w:spacing/>
        <w:ind/>
      </w:pPr>
      <w:tblPr>
        <w:tblBorders/>
      </w:tblPr>
      <w:tcPr>
        <w:shd w:val="clear" w:color="ffffff"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ned - Accent 2"/>
    <w:basedOn w:val="83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3d7" w:themeFill="accent2" w:themeFillTint="32"/>
        <w:tcBorders/>
      </w:tcPr>
    </w:tblStylePr>
    <w:tblStylePr w:type="band2Vert">
      <w:rPr>
        <w:sz w:val="22"/>
      </w:rPr>
      <w:pPr>
        <w:pBdr/>
        <w:spacing/>
        <w:ind/>
      </w:pPr>
      <w:tblPr>
        <w:tblBorders/>
      </w:tblPr>
      <w:tcPr>
        <w:shd w:val="clear" w:color="ffffff" w:fill="fbe3d7" w:themeFill="accent2" w:themeFillTint="32"/>
        <w:tcBorders/>
      </w:tcPr>
    </w:tblStylePr>
    <w:tblStylePr w:type="firstCol">
      <w:rPr>
        <w:sz w:val="22"/>
      </w:rPr>
      <w:pPr>
        <w:pBdr/>
        <w:spacing/>
        <w:ind/>
      </w:pPr>
      <w:tblPr>
        <w:tblBorders/>
      </w:tblPr>
      <w:tcPr>
        <w:shd w:val="clear" w:color="ffffff" w:fill="f2ab86" w:themeFill="accent2" w:themeFillTint="97"/>
        <w:tcBorders/>
      </w:tcPr>
    </w:tblStylePr>
    <w:tblStylePr w:type="firstRow">
      <w:rPr>
        <w:sz w:val="22"/>
      </w:rPr>
      <w:pPr>
        <w:pBdr/>
        <w:spacing/>
        <w:ind/>
      </w:pPr>
      <w:tblPr>
        <w:tblBorders/>
      </w:tblPr>
      <w:tcPr>
        <w:shd w:val="clear" w:color="ffffff" w:fill="f2ab86" w:themeFill="accent2" w:themeFillTint="97"/>
        <w:tcBorders/>
      </w:tcPr>
    </w:tblStylePr>
    <w:tblStylePr w:type="lastCol">
      <w:rPr>
        <w:sz w:val="22"/>
      </w:rPr>
      <w:pPr>
        <w:pBdr/>
        <w:spacing/>
        <w:ind/>
      </w:pPr>
      <w:tblPr>
        <w:tblBorders/>
      </w:tblPr>
      <w:tcPr>
        <w:shd w:val="clear" w:color="ffffff" w:fill="f2ab86" w:themeFill="accent2" w:themeFillTint="97"/>
        <w:tcBorders/>
      </w:tcPr>
    </w:tblStylePr>
    <w:tblStylePr w:type="lastRow">
      <w:rPr>
        <w:sz w:val="22"/>
      </w:rPr>
      <w:pPr>
        <w:pBdr/>
        <w:spacing/>
        <w:ind/>
      </w:pPr>
      <w:tblPr>
        <w:tblBorders/>
      </w:tblPr>
      <w:tcPr>
        <w:shd w:val="clear" w:color="ffffff"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3"/>
    <w:basedOn w:val="83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1f0c7" w:themeFill="accent3" w:themeFillTint="34"/>
        <w:tcBorders/>
      </w:tcPr>
    </w:tblStylePr>
    <w:tblStylePr w:type="band2Vert">
      <w:rPr>
        <w:sz w:val="22"/>
      </w:rPr>
      <w:pPr>
        <w:pBdr/>
        <w:spacing/>
        <w:ind/>
      </w:pPr>
      <w:tblPr>
        <w:tblBorders/>
      </w:tblPr>
      <w:tcPr>
        <w:shd w:val="clear" w:color="ffffff" w:fill="c1f0c7" w:themeFill="accent3" w:themeFillTint="34"/>
        <w:tcBorders/>
      </w:tcPr>
    </w:tblStylePr>
    <w:tblStylePr w:type="firstCol">
      <w:rPr>
        <w:sz w:val="22"/>
      </w:rPr>
      <w:pPr>
        <w:pBdr/>
        <w:spacing/>
        <w:ind/>
      </w:pPr>
      <w:tblPr>
        <w:tblBorders/>
      </w:tblPr>
      <w:tcPr>
        <w:shd w:val="clear" w:color="ffffff" w:fill="196c24" w:themeFill="accent3" w:themeFillTint="FE"/>
        <w:tcBorders/>
      </w:tcPr>
    </w:tblStylePr>
    <w:tblStylePr w:type="firstRow">
      <w:rPr>
        <w:sz w:val="22"/>
      </w:rPr>
      <w:pPr>
        <w:pBdr/>
        <w:spacing/>
        <w:ind/>
      </w:pPr>
      <w:tblPr>
        <w:tblBorders/>
      </w:tblPr>
      <w:tcPr>
        <w:shd w:val="clear" w:color="ffffff" w:fill="196c24" w:themeFill="accent3" w:themeFillTint="FE"/>
        <w:tcBorders/>
      </w:tcPr>
    </w:tblStylePr>
    <w:tblStylePr w:type="lastCol">
      <w:rPr>
        <w:sz w:val="22"/>
      </w:rPr>
      <w:pPr>
        <w:pBdr/>
        <w:spacing/>
        <w:ind/>
      </w:pPr>
      <w:tblPr>
        <w:tblBorders/>
      </w:tblPr>
      <w:tcPr>
        <w:shd w:val="clear" w:color="ffffff" w:fill="196c24" w:themeFill="accent3" w:themeFillTint="FE"/>
        <w:tcBorders/>
      </w:tcPr>
    </w:tblStylePr>
    <w:tblStylePr w:type="lastRow">
      <w:rPr>
        <w:sz w:val="22"/>
      </w:rPr>
      <w:pPr>
        <w:pBdr/>
        <w:spacing/>
        <w:ind/>
      </w:pPr>
      <w:tblPr>
        <w:tblBorders/>
      </w:tblPr>
      <w:tcPr>
        <w:shd w:val="clear" w:color="ffffff"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4"/>
    <w:basedOn w:val="83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9edfb" w:themeFill="accent4" w:themeFillTint="34"/>
        <w:tcBorders/>
      </w:tcPr>
    </w:tblStylePr>
    <w:tblStylePr w:type="band2Vert">
      <w:rPr>
        <w:sz w:val="22"/>
      </w:rPr>
      <w:pPr>
        <w:pBdr/>
        <w:spacing/>
        <w:ind/>
      </w:pPr>
      <w:tblPr>
        <w:tblBorders/>
      </w:tblPr>
      <w:tcPr>
        <w:shd w:val="clear" w:color="ffffff" w:fill="c9edfb" w:themeFill="accent4" w:themeFillTint="34"/>
        <w:tcBorders/>
      </w:tcPr>
    </w:tblStylePr>
    <w:tblStylePr w:type="firstCol">
      <w:rPr>
        <w:sz w:val="22"/>
      </w:rPr>
      <w:pPr>
        <w:pBdr/>
        <w:spacing/>
        <w:ind/>
      </w:pPr>
      <w:tblPr>
        <w:tblBorders/>
      </w:tblPr>
      <w:tcPr>
        <w:shd w:val="clear" w:color="ffffff" w:fill="60cbf4" w:themeFill="accent4" w:themeFillTint="9A"/>
        <w:tcBorders/>
      </w:tcPr>
    </w:tblStylePr>
    <w:tblStylePr w:type="firstRow">
      <w:rPr>
        <w:sz w:val="22"/>
      </w:rPr>
      <w:pPr>
        <w:pBdr/>
        <w:spacing/>
        <w:ind/>
      </w:pPr>
      <w:tblPr>
        <w:tblBorders/>
      </w:tblPr>
      <w:tcPr>
        <w:shd w:val="clear" w:color="ffffff" w:fill="60cbf4" w:themeFill="accent4" w:themeFillTint="9A"/>
        <w:tcBorders/>
      </w:tcPr>
    </w:tblStylePr>
    <w:tblStylePr w:type="lastCol">
      <w:rPr>
        <w:sz w:val="22"/>
      </w:rPr>
      <w:pPr>
        <w:pBdr/>
        <w:spacing/>
        <w:ind/>
      </w:pPr>
      <w:tblPr>
        <w:tblBorders/>
      </w:tblPr>
      <w:tcPr>
        <w:shd w:val="clear" w:color="ffffff" w:fill="60cbf4" w:themeFill="accent4" w:themeFillTint="9A"/>
        <w:tcBorders/>
      </w:tcPr>
    </w:tblStylePr>
    <w:tblStylePr w:type="lastRow">
      <w:rPr>
        <w:sz w:val="22"/>
      </w:rPr>
      <w:pPr>
        <w:pBdr/>
        <w:spacing/>
        <w:ind/>
      </w:pPr>
      <w:tblPr>
        <w:tblBorders/>
      </w:tblPr>
      <w:tcPr>
        <w:shd w:val="clear" w:color="ffffff"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5"/>
    <w:basedOn w:val="83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2ceee" w:themeFill="accent5" w:themeFillTint="34"/>
        <w:tcBorders/>
      </w:tcPr>
    </w:tblStylePr>
    <w:tblStylePr w:type="band2Vert">
      <w:rPr>
        <w:sz w:val="22"/>
      </w:rPr>
      <w:pPr>
        <w:pBdr/>
        <w:spacing/>
        <w:ind/>
      </w:pPr>
      <w:tblPr>
        <w:tblBorders/>
      </w:tblPr>
      <w:tcPr>
        <w:shd w:val="clear" w:color="ffffff" w:fill="f2ceee" w:themeFill="accent5" w:themeFillTint="34"/>
        <w:tcBorders/>
      </w:tcPr>
    </w:tblStylePr>
    <w:tblStylePr w:type="firstCol">
      <w:rPr>
        <w:sz w:val="22"/>
      </w:rPr>
      <w:pPr>
        <w:pBdr/>
        <w:spacing/>
        <w:ind/>
      </w:pPr>
      <w:tblPr>
        <w:tblBorders/>
      </w:tblPr>
      <w:tcPr>
        <w:shd w:val="clear" w:color="ffffff" w:fill="a02b93" w:themeFill="accent5"/>
        <w:tcBorders/>
      </w:tcPr>
    </w:tblStylePr>
    <w:tblStylePr w:type="firstRow">
      <w:rPr>
        <w:sz w:val="22"/>
      </w:rPr>
      <w:pPr>
        <w:pBdr/>
        <w:spacing/>
        <w:ind/>
      </w:pPr>
      <w:tblPr>
        <w:tblBorders/>
      </w:tblPr>
      <w:tcPr>
        <w:shd w:val="clear" w:color="ffffff" w:fill="a02b93" w:themeFill="accent5"/>
        <w:tcBorders/>
      </w:tcPr>
    </w:tblStylePr>
    <w:tblStylePr w:type="lastCol">
      <w:rPr>
        <w:sz w:val="22"/>
      </w:rPr>
      <w:pPr>
        <w:pBdr/>
        <w:spacing/>
        <w:ind/>
      </w:pPr>
      <w:tblPr>
        <w:tblBorders/>
      </w:tblPr>
      <w:tcPr>
        <w:shd w:val="clear" w:color="ffffff" w:fill="a02b93" w:themeFill="accent5"/>
        <w:tcBorders/>
      </w:tcPr>
    </w:tblStylePr>
    <w:tblStylePr w:type="lastRow">
      <w:rPr>
        <w:sz w:val="22"/>
      </w:rPr>
      <w:pPr>
        <w:pBdr/>
        <w:spacing/>
        <w:ind/>
      </w:pPr>
      <w:tblPr>
        <w:tblBorders/>
      </w:tblPr>
      <w:tcPr>
        <w:shd w:val="clear" w:color="ffffff"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6"/>
    <w:basedOn w:val="83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9f2d0" w:themeFill="accent6" w:themeFillTint="34"/>
        <w:tcBorders/>
      </w:tcPr>
    </w:tblStylePr>
    <w:tblStylePr w:type="band2Vert">
      <w:rPr>
        <w:sz w:val="22"/>
      </w:rPr>
      <w:pPr>
        <w:pBdr/>
        <w:spacing/>
        <w:ind/>
      </w:pPr>
      <w:tblPr>
        <w:tblBorders/>
      </w:tblPr>
      <w:tcPr>
        <w:shd w:val="clear" w:color="ffffff" w:fill="d9f2d0" w:themeFill="accent6" w:themeFillTint="34"/>
        <w:tcBorders/>
      </w:tcPr>
    </w:tblStylePr>
    <w:tblStylePr w:type="firstCol">
      <w:rPr>
        <w:sz w:val="22"/>
      </w:rPr>
      <w:pPr>
        <w:pBdr/>
        <w:spacing/>
        <w:ind/>
      </w:pPr>
      <w:tblPr>
        <w:tblBorders/>
      </w:tblPr>
      <w:tcPr>
        <w:shd w:val="clear" w:color="ffffff" w:fill="4ea72e" w:themeFill="accent6"/>
        <w:tcBorders/>
      </w:tcPr>
    </w:tblStylePr>
    <w:tblStylePr w:type="firstRow">
      <w:rPr>
        <w:sz w:val="22"/>
      </w:rPr>
      <w:pPr>
        <w:pBdr/>
        <w:spacing/>
        <w:ind/>
      </w:pPr>
      <w:tblPr>
        <w:tblBorders/>
      </w:tblPr>
      <w:tcPr>
        <w:shd w:val="clear" w:color="ffffff" w:fill="4ea72e" w:themeFill="accent6"/>
        <w:tcBorders/>
      </w:tcPr>
    </w:tblStylePr>
    <w:tblStylePr w:type="lastCol">
      <w:rPr>
        <w:sz w:val="22"/>
      </w:rPr>
      <w:pPr>
        <w:pBdr/>
        <w:spacing/>
        <w:ind/>
      </w:pPr>
      <w:tblPr>
        <w:tblBorders/>
      </w:tblPr>
      <w:tcPr>
        <w:shd w:val="clear" w:color="ffffff" w:fill="4ea72e" w:themeFill="accent6"/>
        <w:tcBorders/>
      </w:tcPr>
    </w:tblStylePr>
    <w:tblStylePr w:type="lastRow">
      <w:rPr>
        <w:sz w:val="22"/>
      </w:rPr>
      <w:pPr>
        <w:pBdr/>
        <w:spacing/>
        <w:ind/>
      </w:pPr>
      <w:tblPr>
        <w:tblBorders/>
      </w:tblPr>
      <w:tcPr>
        <w:shd w:val="clear" w:color="ffffff"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amp; Lined - Accent"/>
    <w:basedOn w:val="831"/>
    <w:uiPriority w:val="99"/>
    <w:pPr>
      <w:pBdr/>
      <w:spacing w:after="0" w:line="240" w:lineRule="auto"/>
      <w:ind/>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2f2f2" w:themeFill="text1" w:themeFillTint="00"/>
        <w:tcBorders/>
      </w:tcPr>
    </w:tblStylePr>
    <w:tblStylePr w:type="band2Vert">
      <w:rPr>
        <w:sz w:val="22"/>
      </w:rPr>
      <w:pPr>
        <w:pBdr/>
        <w:spacing/>
        <w:ind/>
      </w:pPr>
      <w:tblPr>
        <w:tblBorders/>
      </w:tblPr>
      <w:tcPr>
        <w:shd w:val="clear" w:color="ffffff" w:fill="f2f2f2"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amp; Lined - Accent 1"/>
    <w:basedOn w:val="831"/>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9ed6ef" w:themeFill="accent1" w:themeFillTint="50"/>
        <w:tcBorders/>
      </w:tcPr>
    </w:tblStylePr>
    <w:tblStylePr w:type="band2Vert">
      <w:rPr>
        <w:sz w:val="22"/>
      </w:rPr>
      <w:pPr>
        <w:pBdr/>
        <w:spacing/>
        <w:ind/>
      </w:pPr>
      <w:tblPr>
        <w:tblBorders/>
      </w:tblPr>
      <w:tcPr>
        <w:shd w:val="clear" w:color="ffffff" w:fill="9ed6ef" w:themeFill="accent1" w:themeFillTint="50"/>
        <w:tcBorders/>
      </w:tcPr>
    </w:tblStylePr>
    <w:tblStylePr w:type="firstCol">
      <w:rPr>
        <w:sz w:val="22"/>
      </w:rPr>
      <w:pPr>
        <w:pBdr/>
        <w:spacing/>
        <w:ind/>
      </w:pPr>
      <w:tblPr>
        <w:tblBorders/>
      </w:tblPr>
      <w:tcPr>
        <w:shd w:val="clear" w:color="ffffff" w:fill="19739b" w:themeFill="accent1" w:themeFillTint="EA"/>
        <w:tcBorders/>
      </w:tcPr>
    </w:tblStylePr>
    <w:tblStylePr w:type="firstRow">
      <w:rPr>
        <w:sz w:val="22"/>
      </w:rPr>
      <w:pPr>
        <w:pBdr/>
        <w:spacing/>
        <w:ind/>
      </w:pPr>
      <w:tblPr>
        <w:tblBorders/>
      </w:tblPr>
      <w:tcPr>
        <w:shd w:val="clear" w:color="ffffff" w:fill="19739b" w:themeFill="accent1" w:themeFillTint="EA"/>
        <w:tcBorders/>
      </w:tcPr>
    </w:tblStylePr>
    <w:tblStylePr w:type="lastCol">
      <w:rPr>
        <w:sz w:val="22"/>
      </w:rPr>
      <w:pPr>
        <w:pBdr/>
        <w:spacing/>
        <w:ind/>
      </w:pPr>
      <w:tblPr>
        <w:tblBorders/>
      </w:tblPr>
      <w:tcPr>
        <w:shd w:val="clear" w:color="ffffff" w:fill="19739b" w:themeFill="accent1" w:themeFillTint="EA"/>
        <w:tcBorders/>
      </w:tcPr>
    </w:tblStylePr>
    <w:tblStylePr w:type="lastRow">
      <w:rPr>
        <w:sz w:val="22"/>
      </w:rPr>
      <w:pPr>
        <w:pBdr/>
        <w:spacing/>
        <w:ind/>
      </w:pPr>
      <w:tblPr>
        <w:tblBorders/>
      </w:tblPr>
      <w:tcPr>
        <w:shd w:val="clear" w:color="ffffff"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2"/>
    <w:basedOn w:val="831"/>
    <w:uiPriority w:val="99"/>
    <w:pPr>
      <w:pBdr/>
      <w:spacing w:after="0" w:line="240" w:lineRule="auto"/>
      <w:ind/>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3d7" w:themeFill="accent2" w:themeFillTint="32"/>
        <w:tcBorders/>
      </w:tcPr>
    </w:tblStylePr>
    <w:tblStylePr w:type="band2Vert">
      <w:rPr>
        <w:sz w:val="22"/>
      </w:rPr>
      <w:pPr>
        <w:pBdr/>
        <w:spacing/>
        <w:ind/>
      </w:pPr>
      <w:tblPr>
        <w:tblBorders/>
      </w:tblPr>
      <w:tcPr>
        <w:shd w:val="clear" w:color="ffffff" w:fill="fbe3d7" w:themeFill="accent2" w:themeFillTint="32"/>
        <w:tcBorders/>
      </w:tcPr>
    </w:tblStylePr>
    <w:tblStylePr w:type="firstCol">
      <w:rPr>
        <w:sz w:val="22"/>
      </w:rPr>
      <w:pPr>
        <w:pBdr/>
        <w:spacing/>
        <w:ind/>
      </w:pPr>
      <w:tblPr>
        <w:tblBorders/>
      </w:tblPr>
      <w:tcPr>
        <w:shd w:val="clear" w:color="ffffff" w:fill="f2ab86" w:themeFill="accent2" w:themeFillTint="97"/>
        <w:tcBorders/>
      </w:tcPr>
    </w:tblStylePr>
    <w:tblStylePr w:type="firstRow">
      <w:rPr>
        <w:sz w:val="22"/>
      </w:rPr>
      <w:pPr>
        <w:pBdr/>
        <w:spacing/>
        <w:ind/>
      </w:pPr>
      <w:tblPr>
        <w:tblBorders/>
      </w:tblPr>
      <w:tcPr>
        <w:shd w:val="clear" w:color="ffffff" w:fill="f2ab86" w:themeFill="accent2" w:themeFillTint="97"/>
        <w:tcBorders/>
      </w:tcPr>
    </w:tblStylePr>
    <w:tblStylePr w:type="lastCol">
      <w:rPr>
        <w:sz w:val="22"/>
      </w:rPr>
      <w:pPr>
        <w:pBdr/>
        <w:spacing/>
        <w:ind/>
      </w:pPr>
      <w:tblPr>
        <w:tblBorders/>
      </w:tblPr>
      <w:tcPr>
        <w:shd w:val="clear" w:color="ffffff" w:fill="f2ab86" w:themeFill="accent2" w:themeFillTint="97"/>
        <w:tcBorders/>
      </w:tcPr>
    </w:tblStylePr>
    <w:tblStylePr w:type="lastRow">
      <w:rPr>
        <w:sz w:val="22"/>
      </w:rPr>
      <w:pPr>
        <w:pBdr/>
        <w:spacing/>
        <w:ind/>
      </w:pPr>
      <w:tblPr>
        <w:tblBorders/>
      </w:tblPr>
      <w:tcPr>
        <w:shd w:val="clear" w:color="ffffff"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3"/>
    <w:basedOn w:val="831"/>
    <w:uiPriority w:val="99"/>
    <w:pPr>
      <w:pBdr/>
      <w:spacing w:after="0" w:line="240" w:lineRule="auto"/>
      <w:ind/>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1f0c7" w:themeFill="accent3" w:themeFillTint="34"/>
        <w:tcBorders/>
      </w:tcPr>
    </w:tblStylePr>
    <w:tblStylePr w:type="band2Vert">
      <w:rPr>
        <w:sz w:val="22"/>
      </w:rPr>
      <w:pPr>
        <w:pBdr/>
        <w:spacing/>
        <w:ind/>
      </w:pPr>
      <w:tblPr>
        <w:tblBorders/>
      </w:tblPr>
      <w:tcPr>
        <w:shd w:val="clear" w:color="ffffff" w:fill="c1f0c7" w:themeFill="accent3" w:themeFillTint="34"/>
        <w:tcBorders/>
      </w:tcPr>
    </w:tblStylePr>
    <w:tblStylePr w:type="firstCol">
      <w:rPr>
        <w:sz w:val="22"/>
      </w:rPr>
      <w:pPr>
        <w:pBdr/>
        <w:spacing/>
        <w:ind/>
      </w:pPr>
      <w:tblPr>
        <w:tblBorders/>
      </w:tblPr>
      <w:tcPr>
        <w:shd w:val="clear" w:color="ffffff" w:fill="196c24" w:themeFill="accent3" w:themeFillTint="FE"/>
        <w:tcBorders/>
      </w:tcPr>
    </w:tblStylePr>
    <w:tblStylePr w:type="firstRow">
      <w:rPr>
        <w:sz w:val="22"/>
      </w:rPr>
      <w:pPr>
        <w:pBdr/>
        <w:spacing/>
        <w:ind/>
      </w:pPr>
      <w:tblPr>
        <w:tblBorders/>
      </w:tblPr>
      <w:tcPr>
        <w:shd w:val="clear" w:color="ffffff" w:fill="196c24" w:themeFill="accent3" w:themeFillTint="FE"/>
        <w:tcBorders/>
      </w:tcPr>
    </w:tblStylePr>
    <w:tblStylePr w:type="lastCol">
      <w:rPr>
        <w:sz w:val="22"/>
      </w:rPr>
      <w:pPr>
        <w:pBdr/>
        <w:spacing/>
        <w:ind/>
      </w:pPr>
      <w:tblPr>
        <w:tblBorders/>
      </w:tblPr>
      <w:tcPr>
        <w:shd w:val="clear" w:color="ffffff" w:fill="196c24" w:themeFill="accent3" w:themeFillTint="FE"/>
        <w:tcBorders/>
      </w:tcPr>
    </w:tblStylePr>
    <w:tblStylePr w:type="lastRow">
      <w:rPr>
        <w:sz w:val="22"/>
      </w:rPr>
      <w:pPr>
        <w:pBdr/>
        <w:spacing/>
        <w:ind/>
      </w:pPr>
      <w:tblPr>
        <w:tblBorders/>
      </w:tblPr>
      <w:tcPr>
        <w:shd w:val="clear" w:color="ffffff"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4"/>
    <w:basedOn w:val="831"/>
    <w:uiPriority w:val="99"/>
    <w:pPr>
      <w:pBdr/>
      <w:spacing w:after="0" w:line="240" w:lineRule="auto"/>
      <w:ind/>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9edfb" w:themeFill="accent4" w:themeFillTint="34"/>
        <w:tcBorders/>
      </w:tcPr>
    </w:tblStylePr>
    <w:tblStylePr w:type="band2Vert">
      <w:rPr>
        <w:sz w:val="22"/>
      </w:rPr>
      <w:pPr>
        <w:pBdr/>
        <w:spacing/>
        <w:ind/>
      </w:pPr>
      <w:tblPr>
        <w:tblBorders/>
      </w:tblPr>
      <w:tcPr>
        <w:shd w:val="clear" w:color="ffffff" w:fill="c9edfb" w:themeFill="accent4" w:themeFillTint="34"/>
        <w:tcBorders/>
      </w:tcPr>
    </w:tblStylePr>
    <w:tblStylePr w:type="firstCol">
      <w:rPr>
        <w:sz w:val="22"/>
      </w:rPr>
      <w:pPr>
        <w:pBdr/>
        <w:spacing/>
        <w:ind/>
      </w:pPr>
      <w:tblPr>
        <w:tblBorders/>
      </w:tblPr>
      <w:tcPr>
        <w:shd w:val="clear" w:color="ffffff" w:fill="60cbf4" w:themeFill="accent4" w:themeFillTint="9A"/>
        <w:tcBorders/>
      </w:tcPr>
    </w:tblStylePr>
    <w:tblStylePr w:type="firstRow">
      <w:rPr>
        <w:sz w:val="22"/>
      </w:rPr>
      <w:pPr>
        <w:pBdr/>
        <w:spacing/>
        <w:ind/>
      </w:pPr>
      <w:tblPr>
        <w:tblBorders/>
      </w:tblPr>
      <w:tcPr>
        <w:shd w:val="clear" w:color="ffffff" w:fill="60cbf4" w:themeFill="accent4" w:themeFillTint="9A"/>
        <w:tcBorders/>
      </w:tcPr>
    </w:tblStylePr>
    <w:tblStylePr w:type="lastCol">
      <w:rPr>
        <w:sz w:val="22"/>
      </w:rPr>
      <w:pPr>
        <w:pBdr/>
        <w:spacing/>
        <w:ind/>
      </w:pPr>
      <w:tblPr>
        <w:tblBorders/>
      </w:tblPr>
      <w:tcPr>
        <w:shd w:val="clear" w:color="ffffff" w:fill="60cbf4" w:themeFill="accent4" w:themeFillTint="9A"/>
        <w:tcBorders/>
      </w:tcPr>
    </w:tblStylePr>
    <w:tblStylePr w:type="lastRow">
      <w:rPr>
        <w:sz w:val="22"/>
      </w:rPr>
      <w:pPr>
        <w:pBdr/>
        <w:spacing/>
        <w:ind/>
      </w:pPr>
      <w:tblPr>
        <w:tblBorders/>
      </w:tblPr>
      <w:tcPr>
        <w:shd w:val="clear" w:color="ffffff"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5"/>
    <w:basedOn w:val="831"/>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2ceee" w:themeFill="accent5" w:themeFillTint="34"/>
        <w:tcBorders/>
      </w:tcPr>
    </w:tblStylePr>
    <w:tblStylePr w:type="band2Vert">
      <w:rPr>
        <w:sz w:val="22"/>
      </w:rPr>
      <w:pPr>
        <w:pBdr/>
        <w:spacing/>
        <w:ind/>
      </w:pPr>
      <w:tblPr>
        <w:tblBorders/>
      </w:tblPr>
      <w:tcPr>
        <w:shd w:val="clear" w:color="ffffff" w:fill="f2ceee" w:themeFill="accent5" w:themeFillTint="34"/>
        <w:tcBorders/>
      </w:tcPr>
    </w:tblStylePr>
    <w:tblStylePr w:type="firstCol">
      <w:rPr>
        <w:sz w:val="22"/>
      </w:rPr>
      <w:pPr>
        <w:pBdr/>
        <w:spacing/>
        <w:ind/>
      </w:pPr>
      <w:tblPr>
        <w:tblBorders/>
      </w:tblPr>
      <w:tcPr>
        <w:shd w:val="clear" w:color="ffffff" w:fill="a02b93" w:themeFill="accent5"/>
        <w:tcBorders/>
      </w:tcPr>
    </w:tblStylePr>
    <w:tblStylePr w:type="firstRow">
      <w:rPr>
        <w:sz w:val="22"/>
      </w:rPr>
      <w:pPr>
        <w:pBdr/>
        <w:spacing/>
        <w:ind/>
      </w:pPr>
      <w:tblPr>
        <w:tblBorders/>
      </w:tblPr>
      <w:tcPr>
        <w:shd w:val="clear" w:color="ffffff" w:fill="a02b93" w:themeFill="accent5"/>
        <w:tcBorders/>
      </w:tcPr>
    </w:tblStylePr>
    <w:tblStylePr w:type="lastCol">
      <w:rPr>
        <w:sz w:val="22"/>
      </w:rPr>
      <w:pPr>
        <w:pBdr/>
        <w:spacing/>
        <w:ind/>
      </w:pPr>
      <w:tblPr>
        <w:tblBorders/>
      </w:tblPr>
      <w:tcPr>
        <w:shd w:val="clear" w:color="ffffff" w:fill="a02b93" w:themeFill="accent5"/>
        <w:tcBorders/>
      </w:tcPr>
    </w:tblStylePr>
    <w:tblStylePr w:type="lastRow">
      <w:rPr>
        <w:sz w:val="22"/>
      </w:rPr>
      <w:pPr>
        <w:pBdr/>
        <w:spacing/>
        <w:ind/>
      </w:pPr>
      <w:tblPr>
        <w:tblBorders/>
      </w:tblPr>
      <w:tcPr>
        <w:shd w:val="clear" w:color="ffffff"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6"/>
    <w:basedOn w:val="831"/>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9f2d0" w:themeFill="accent6" w:themeFillTint="34"/>
        <w:tcBorders/>
      </w:tcPr>
    </w:tblStylePr>
    <w:tblStylePr w:type="band2Vert">
      <w:rPr>
        <w:sz w:val="22"/>
      </w:rPr>
      <w:pPr>
        <w:pBdr/>
        <w:spacing/>
        <w:ind/>
      </w:pPr>
      <w:tblPr>
        <w:tblBorders/>
      </w:tblPr>
      <w:tcPr>
        <w:shd w:val="clear" w:color="ffffff" w:fill="d9f2d0" w:themeFill="accent6" w:themeFillTint="34"/>
        <w:tcBorders/>
      </w:tcPr>
    </w:tblStylePr>
    <w:tblStylePr w:type="firstCol">
      <w:rPr>
        <w:sz w:val="22"/>
      </w:rPr>
      <w:pPr>
        <w:pBdr/>
        <w:spacing/>
        <w:ind/>
      </w:pPr>
      <w:tblPr>
        <w:tblBorders/>
      </w:tblPr>
      <w:tcPr>
        <w:shd w:val="clear" w:color="ffffff" w:fill="4ea72e" w:themeFill="accent6"/>
        <w:tcBorders/>
      </w:tcPr>
    </w:tblStylePr>
    <w:tblStylePr w:type="firstRow">
      <w:rPr>
        <w:sz w:val="22"/>
      </w:rPr>
      <w:pPr>
        <w:pBdr/>
        <w:spacing/>
        <w:ind/>
      </w:pPr>
      <w:tblPr>
        <w:tblBorders/>
      </w:tblPr>
      <w:tcPr>
        <w:shd w:val="clear" w:color="ffffff" w:fill="4ea72e" w:themeFill="accent6"/>
        <w:tcBorders/>
      </w:tcPr>
    </w:tblStylePr>
    <w:tblStylePr w:type="lastCol">
      <w:rPr>
        <w:sz w:val="22"/>
      </w:rPr>
      <w:pPr>
        <w:pBdr/>
        <w:spacing/>
        <w:ind/>
      </w:pPr>
      <w:tblPr>
        <w:tblBorders/>
      </w:tblPr>
      <w:tcPr>
        <w:shd w:val="clear" w:color="ffffff" w:fill="4ea72e" w:themeFill="accent6"/>
        <w:tcBorders/>
      </w:tcPr>
    </w:tblStylePr>
    <w:tblStylePr w:type="lastRow">
      <w:rPr>
        <w:sz w:val="22"/>
      </w:rPr>
      <w:pPr>
        <w:pBdr/>
        <w:spacing/>
        <w:ind/>
      </w:pPr>
      <w:tblPr>
        <w:tblBorders/>
      </w:tblPr>
      <w:tcPr>
        <w:shd w:val="clear" w:color="ffffff"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w:basedOn w:val="831"/>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 Accent 1"/>
    <w:basedOn w:val="831"/>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1" w:sz="12" w:space="0"/>
        </w:tcBorders>
      </w:tcPr>
    </w:tblStylePr>
    <w:tblStylePr w:type="lastCol">
      <w:rPr>
        <w:sz w:val="22"/>
      </w:rPr>
      <w:pPr>
        <w:pBdr/>
        <w:spacing/>
        <w:ind/>
      </w:pPr>
      <w:tblPr>
        <w:tblBorders/>
      </w:tblPr>
      <w:tcPr>
        <w:tcBorders>
          <w:left w:val="single" w:color="000000" w:themeColor="accent1" w:sz="12" w:space="0"/>
        </w:tcBorders>
      </w:tcPr>
    </w:tblStylePr>
    <w:tblStylePr w:type="lastRow">
      <w:rPr>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 Accent 2"/>
    <w:basedOn w:val="831"/>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2" w:sz="12" w:space="0"/>
        </w:tcBorders>
      </w:tcPr>
    </w:tblStylePr>
    <w:tblStylePr w:type="lastCol">
      <w:rPr>
        <w:sz w:val="22"/>
      </w:rPr>
      <w:pPr>
        <w:pBdr/>
        <w:spacing/>
        <w:ind/>
      </w:pPr>
      <w:tblPr>
        <w:tblBorders/>
      </w:tblPr>
      <w:tcPr>
        <w:tcBorders>
          <w:left w:val="single" w:color="000000" w:themeColor="accent2" w:sz="12" w:space="0"/>
        </w:tcBorders>
      </w:tcPr>
    </w:tblStylePr>
    <w:tblStylePr w:type="lastRow">
      <w:rPr>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3"/>
    <w:basedOn w:val="831"/>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3" w:sz="12" w:space="0"/>
        </w:tcBorders>
      </w:tcPr>
    </w:tblStylePr>
    <w:tblStylePr w:type="lastCol">
      <w:rPr>
        <w:sz w:val="22"/>
      </w:rPr>
      <w:pPr>
        <w:pBdr/>
        <w:spacing/>
        <w:ind/>
      </w:pPr>
      <w:tblPr>
        <w:tblBorders/>
      </w:tblPr>
      <w:tcPr>
        <w:tcBorders>
          <w:left w:val="single" w:color="000000" w:themeColor="accent3" w:sz="12" w:space="0"/>
        </w:tcBorders>
      </w:tcPr>
    </w:tblStylePr>
    <w:tblStylePr w:type="lastRow">
      <w:rPr>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4"/>
    <w:basedOn w:val="831"/>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4" w:sz="12" w:space="0"/>
        </w:tcBorders>
      </w:tcPr>
    </w:tblStylePr>
    <w:tblStylePr w:type="lastCol">
      <w:rPr>
        <w:sz w:val="22"/>
      </w:rPr>
      <w:pPr>
        <w:pBdr/>
        <w:spacing/>
        <w:ind/>
      </w:pPr>
      <w:tblPr>
        <w:tblBorders/>
      </w:tblPr>
      <w:tcPr>
        <w:tcBorders>
          <w:left w:val="single" w:color="000000" w:themeColor="accent4" w:sz="12" w:space="0"/>
        </w:tcBorders>
      </w:tcPr>
    </w:tblStylePr>
    <w:tblStylePr w:type="lastRow">
      <w:rPr>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5"/>
    <w:basedOn w:val="831"/>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5" w:sz="12" w:space="0"/>
        </w:tcBorders>
      </w:tcPr>
    </w:tblStylePr>
    <w:tblStylePr w:type="lastCol">
      <w:rPr>
        <w:sz w:val="22"/>
      </w:rPr>
      <w:pPr>
        <w:pBdr/>
        <w:spacing/>
        <w:ind/>
      </w:pPr>
      <w:tblPr>
        <w:tblBorders/>
      </w:tblPr>
      <w:tcPr>
        <w:tcBorders>
          <w:left w:val="single" w:color="000000" w:themeColor="accent5" w:sz="12" w:space="0"/>
        </w:tcBorders>
      </w:tcPr>
    </w:tblStylePr>
    <w:tblStylePr w:type="lastRow">
      <w:rPr>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6"/>
    <w:basedOn w:val="831"/>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6" w:sz="12" w:space="0"/>
        </w:tcBorders>
      </w:tcPr>
    </w:tblStylePr>
    <w:tblStylePr w:type="lastCol">
      <w:rPr>
        <w:sz w:val="22"/>
      </w:rPr>
      <w:pPr>
        <w:pBdr/>
        <w:spacing/>
        <w:ind/>
      </w:pPr>
      <w:tblPr>
        <w:tblBorders/>
      </w:tblPr>
      <w:tcPr>
        <w:tcBorders>
          <w:left w:val="single" w:color="000000" w:themeColor="accent6" w:sz="12" w:space="0"/>
        </w:tcBorders>
      </w:tcPr>
    </w:tblStylePr>
    <w:tblStylePr w:type="lastRow">
      <w:rPr>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doi.org/10.1029/2008WR007042" TargetMode="External"/><Relationship Id="rId20" Type="http://schemas.openxmlformats.org/officeDocument/2006/relationships/hyperlink" Target="https://doi.org/10.1029/2022WR033363" TargetMode="External"/><Relationship Id="rId21" Type="http://schemas.openxmlformats.org/officeDocument/2006/relationships/hyperlink" Target="https://doi.org/10.1002/HYP.10431" TargetMode="External"/><Relationship Id="rId22" Type="http://schemas.openxmlformats.org/officeDocument/2006/relationships/hyperlink" Target="https://doi.org/10.1093/jof/67.2.92" TargetMode="External"/><Relationship Id="rId23" Type="http://schemas.openxmlformats.org/officeDocument/2006/relationships/hyperlink" Target="https://doi.org/10.1002/hyp.70135" TargetMode="External"/><Relationship Id="rId24" Type="http://schemas.openxmlformats.org/officeDocument/2006/relationships/hyperlink" Target="https://doi.org/10.1002/wat2.70010" TargetMode="External"/><Relationship Id="rId25" Type="http://schemas.openxmlformats.org/officeDocument/2006/relationships/hyperlink" Target="https://doi.org/10.1002/2015WR017200" TargetMode="External"/><Relationship Id="rId26" Type="http://schemas.openxmlformats.org/officeDocument/2006/relationships/hyperlink" Target="https://doi.org/10.1175/JHM-D-18-0050.1" TargetMode="External"/><Relationship Id="rId27" Type="http://schemas.openxmlformats.org/officeDocument/2006/relationships/hyperlink" Target="https://doi.org/10.5194/hess-14-925-2010" TargetMode="External"/><Relationship Id="rId28" Type="http://schemas.openxmlformats.org/officeDocument/2006/relationships/hyperlink" Target="https://doi.org/10.1175/1520-0442(2003)016&lt;1855:SOSFCF&gt;2.0.CO;2" TargetMode="External"/><Relationship Id="rId29" Type="http://schemas.openxmlformats.org/officeDocument/2006/relationships/hyperlink" Target="https://doi.org/10.1016/j.jhydrol.2023.129566" TargetMode="External"/><Relationship Id="rId30" Type="http://schemas.openxmlformats.org/officeDocument/2006/relationships/hyperlink" Target="https://dx.doi.org/10.14288/1.0073024" TargetMode="External"/><Relationship Id="rId31" Type="http://schemas.openxmlformats.org/officeDocument/2006/relationships/hyperlink" Target="https://doi.org/10.1029/2023WR036996" TargetMode="External"/><Relationship Id="rId32" Type="http://schemas.openxmlformats.org/officeDocument/2006/relationships/hyperlink" Target="https://doi.org/10.1002/(SICI)1099-1085(199808/09)12:10/11&lt;1611::AID-HYP684&gt;3.0.CO;2-4" TargetMode="External"/><Relationship Id="rId33" Type="http://schemas.openxmlformats.org/officeDocument/2006/relationships/hyperlink" Target="https://doi.org/10.1175/JAMC-D-11-058.1" TargetMode="External"/><Relationship Id="rId34" Type="http://schemas.openxmlformats.org/officeDocument/2006/relationships/hyperlink" Target="https://doi.org/10.1175/JHM-D-11-0135.1" TargetMode="External"/><Relationship Id="rId35" Type="http://schemas.openxmlformats.org/officeDocument/2006/relationships/hyperlink" Target="https://doi.org/10.1038/s41586-019-1822-y" TargetMode="External"/><Relationship Id="rId36" Type="http://schemas.openxmlformats.org/officeDocument/2006/relationships/hyperlink" Target="https://doi.org/10.1002/hyp.14922" TargetMode="External"/><Relationship Id="rId37" Type="http://schemas.openxmlformats.org/officeDocument/2006/relationships/hyperlink" Target="https://doi.org/10.1016/j.rse.2024.114116" TargetMode="External"/><Relationship Id="rId38" Type="http://schemas.openxmlformats.org/officeDocument/2006/relationships/hyperlink" Target="https://doi.org/10.1109/IGARSS.2017.8127222" TargetMode="External"/><Relationship Id="rId39" Type="http://schemas.openxmlformats.org/officeDocument/2006/relationships/hyperlink" Target="https://doi.org/10.5558/tfc71326-3" TargetMode="External"/><Relationship Id="rId40" Type="http://schemas.openxmlformats.org/officeDocument/2006/relationships/hyperlink" Target="https://doi.org/10.5194/gmd-11-5027-2018" TargetMode="External"/><Relationship Id="rId41" Type="http://schemas.openxmlformats.org/officeDocument/2006/relationships/hyperlink" Target="https://doi.org/10.1016/j.scitotenv.2013.09.031" TargetMode="External"/><Relationship Id="rId42" Type="http://schemas.openxmlformats.org/officeDocument/2006/relationships/hyperlink" Target="https://doi.org/10.1029/2021WR030852" TargetMode="External"/><Relationship Id="rId43" Type="http://schemas.openxmlformats.org/officeDocument/2006/relationships/hyperlink" Target="https://doi.org/10.1002/hyp.14274" TargetMode="External"/><Relationship Id="rId44" Type="http://schemas.openxmlformats.org/officeDocument/2006/relationships/hyperlink" Target="https://doi.org/10.1002/1099-1085(20001030)14:15&lt;2669::AID-HYP85&gt;3.0.CO;2-Q" TargetMode="External"/><Relationship Id="rId45" Type="http://schemas.openxmlformats.org/officeDocument/2006/relationships/hyperlink" Target="https://doi.org/10.1016/j.jhydrol.2022.128711" TargetMode="External"/><Relationship Id="rId46" Type="http://schemas.openxmlformats.org/officeDocument/2006/relationships/hyperlink" Target="https://doi.org/10.1002/hyp.6787" TargetMode="External"/><Relationship Id="rId47" Type="http://schemas.openxmlformats.org/officeDocument/2006/relationships/hyperlink" Target="https://doi.org/10.1002/hyp.7325" TargetMode="External"/><Relationship Id="rId48" Type="http://schemas.openxmlformats.org/officeDocument/2006/relationships/hyperlink" Target="https://doi.org/10.1002/(SICI)1099-1085(199812)12:15&lt;2317::AID-HYP799&gt;3.0.CO;2-X" TargetMode="External"/><Relationship Id="rId49" Type="http://schemas.openxmlformats.org/officeDocument/2006/relationships/hyperlink" Target="https://doi.org/10.1007/s003820100153" TargetMode="External"/><Relationship Id="rId50" Type="http://schemas.openxmlformats.org/officeDocument/2006/relationships/hyperlink" Target="https://doi.org/10.1029/2008JD011063" TargetMode="External"/><Relationship Id="rId51" Type="http://schemas.openxmlformats.org/officeDocument/2006/relationships/hyperlink" Target="https://doi.org/10.1029/2020WR027522" TargetMode="External"/><Relationship Id="rId52" Type="http://schemas.openxmlformats.org/officeDocument/2006/relationships/hyperlink" Target="https://doi.org/10.1002/hyp.13721" TargetMode="External"/><Relationship Id="rId53" Type="http://schemas.openxmlformats.org/officeDocument/2006/relationships/hyperlink" Target="https://doi.org/10.1139/x91-176" TargetMode="External"/><Relationship Id="rId54" Type="http://schemas.openxmlformats.org/officeDocument/2006/relationships/hyperlink" Target="https://doi.org/10.1139/x90-165" TargetMode="External"/><Relationship Id="rId55" Type="http://schemas.openxmlformats.org/officeDocument/2006/relationships/hyperlink" Target="https://doi.org/10.1029/2002wr001281" TargetMode="External"/><Relationship Id="rId56" Type="http://schemas.openxmlformats.org/officeDocument/2006/relationships/hyperlink" Target="https://doi.org/10.1016/j.jhydrol.2014.11.060" TargetMode="External"/><Relationship Id="rId57" Type="http://schemas.openxmlformats.org/officeDocument/2006/relationships/hyperlink" Target="https://doi.org/10.1111/j.1752-1688.1983.tb04593.x" TargetMode="External"/><Relationship Id="rId58" Type="http://schemas.openxmlformats.org/officeDocument/2006/relationships/hyperlink" Target="https://doi.org/10.1038/s41893-020-0559-9" TargetMode="External"/><Relationship Id="rId59" Type="http://schemas.openxmlformats.org/officeDocument/2006/relationships/hyperlink" Target="https://doi.org/10.1016/j.foreco.2009.07.035"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Processes Governing the Ablation of Intercepted Snow</dc:title>
  <dc:creator>Alex C. Cebulski1 (ORCID ID - 0000-0001-7910-5056), John W. Pomeroy1 (ORCID ID - 0000-0002-4782-7457)</dc:creator>
  <cp:keywords/>
  <dc:language>en-CA</dc:language>
  <cp:revision>1</cp:revision>
  <dcterms:created xsi:type="dcterms:W3CDTF">2025-05-28T22:31:21Z</dcterms:created>
  <dcterms:modified xsi:type="dcterms:W3CDTF">2025-05-28T22:36:52Z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../../papers/bibtex/better-bibtex.bib</vt:lpwstr>
  </property>
  <property fmtid="{D5CDD505-2E9C-101B-9397-08002B2CF9AE}" pid="5" name="by-author">
    <vt:lpwstr/>
  </property>
  <property fmtid="{D5CDD505-2E9C-101B-9397-08002B2CF9AE}" pid="6" name="crossref">
    <vt:lpwstr/>
  </property>
  <property fmtid="{D5CDD505-2E9C-101B-9397-08002B2CF9AE}" pid="7" name="csl">
    <vt:lpwstr>../../papers/bibtex/csl-styles/apa-disable-disambiguate-add-names.csl</vt:lpwstr>
  </property>
  <property fmtid="{D5CDD505-2E9C-101B-9397-08002B2CF9AE}" pid="8" name="editor">
    <vt:lpwstr>source</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