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5.png" ContentType="image/png"/>
  <Override PartName="/word/media/rId39.bmp" ContentType="image/x-ms-bmp"/>
  <Override PartName="/word/media/rId42.bmp" ContentType="image/x-ms-bmp"/>
  <Override PartName="/word/media/rId45.bmp" ContentType="image/x-ms-bmp"/>
  <Override PartName="/word/media/rId21.png" ContentType="image/png"/>
  <Override PartName="/word/media/rId49.bmp" ContentType="image/x-ms-bmp"/>
  <Override PartName="/word/media/rId52.bmp" ContentType="image/x-ms-bmp"/>
  <Override PartName="/word/media/rId55.bmp" ContentType="image/x-ms-bmp"/>
  <Override PartName="/word/media/rId34.bmp" ContentType="image/x-ms-bmp"/>
  <Override PartName="/word/media/rId31.bmp" ContentType="image/x-ms-bmp"/>
  <Override PartName="/word/media/" ContentType="application/octet-stream"/>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27"/>
      </w:pPr>
      <w:r>
        <w:t xml:space="preserve">Paper</w:t>
      </w:r>
      <w:r>
        <w:t xml:space="preserve"> </w:t>
      </w:r>
      <w:r>
        <w:t xml:space="preserve">Outline:</w:t>
      </w:r>
      <w:r>
        <w:t xml:space="preserve"> </w:t>
      </w:r>
      <w:r>
        <w:t xml:space="preserve">Snow</w:t>
      </w:r>
      <w:r>
        <w:t xml:space="preserve"> </w:t>
      </w:r>
      <w:r>
        <w:t xml:space="preserve">Interception</w:t>
      </w:r>
      <w:r>
        <w:t xml:space="preserve"> </w:t>
      </w:r>
      <w:r>
        <w:t xml:space="preserve">Processes</w:t>
      </w:r>
      <w:r>
        <w:t xml:space="preserve"> </w:t>
      </w:r>
      <w:r>
        <w:t xml:space="preserve">in</w:t>
      </w:r>
      <w:r>
        <w:t xml:space="preserve"> </w:t>
      </w:r>
      <w:r>
        <w:t xml:space="preserve">the</w:t>
      </w:r>
      <w:r>
        <w:t xml:space="preserve"> </w:t>
      </w:r>
      <w:r>
        <w:t xml:space="preserve">Subalpine</w:t>
      </w:r>
    </w:p>
    <w:p>
      <w:pPr>
        <w:pStyle w:val="67"/>
      </w:pPr>
      <w:r>
        <w:t xml:space="preserve">Alex</w:t>
      </w:r>
      <w:r>
        <w:t xml:space="preserve"> </w:t>
      </w:r>
      <w:r>
        <w:t xml:space="preserve">Cebulski</w:t>
      </w:r>
      <w:r>
        <w:t xml:space="preserve"> </w:t>
      </w:r>
      <w:r>
        <w:t xml:space="preserve">&amp;</w:t>
      </w:r>
      <w:r>
        <w:t xml:space="preserve"> </w:t>
      </w:r>
      <w:r>
        <w:t xml:space="preserve">John</w:t>
      </w:r>
      <w:r>
        <w:t xml:space="preserve"> </w:t>
      </w:r>
      <w:r>
        <w:t xml:space="preserve">Pomeroy</w:t>
      </w:r>
    </w:p>
    <w:p>
      <w:pPr>
        <w:pStyle w:val="16"/>
      </w:pPr>
      <w:r>
        <w:t xml:space="preserve">June</w:t>
      </w:r>
      <w:r>
        <w:t xml:space="preserve"> </w:t>
      </w:r>
      <w:r>
        <w:t xml:space="preserve">28,</w:t>
      </w:r>
      <w:r>
        <w:t xml:space="preserve"> </w:t>
      </w:r>
      <w:r>
        <w:t xml:space="preserve">2023</w:t>
      </w:r>
    </w:p>
    <w:bookmarkStart w:id="20" w:name="introduction"/>
    <w:p>
      <w:pPr>
        <w:pStyle w:val="4"/>
      </w:pPr>
      <w:r>
        <w:t xml:space="preserve">0.1 Introduction</w:t>
      </w:r>
    </w:p>
    <w:p>
      <w:pPr>
        <w:numPr>
          <w:ilvl w:val="0"/>
          <w:numId w:val="1001"/>
        </w:numPr>
      </w:pPr>
      <w:r>
        <w:t xml:space="preserve">The original theory has been simplified over time, i.e. the increase in canopy coverage with increasing wind speed is not included in more recent parameterizations</w:t>
      </w:r>
      <w:r>
        <w:t xml:space="preserve"> </w:t>
      </w:r>
      <w:r>
        <w:t xml:space="preserve">Roth &amp; Nolin (2019)</w:t>
      </w:r>
      <w:r>
        <w:t xml:space="preserve">.</w:t>
      </w:r>
    </w:p>
    <w:p>
      <w:pPr>
        <w:numPr>
          <w:ilvl w:val="0"/>
          <w:numId w:val="1001"/>
        </w:numPr>
      </w:pPr>
      <w:r>
        <w:t xml:space="preserve">Updates to theory</w:t>
      </w:r>
      <w:r>
        <w:t xml:space="preserve"> </w:t>
      </w:r>
      <w:r>
        <w:t xml:space="preserve">(e.g., Gelfan et al., 2004)</w:t>
      </w:r>
      <w:r>
        <w:t xml:space="preserve"> </w:t>
      </w:r>
      <w:r>
        <w:t xml:space="preserve">has been ignored in recent studies</w:t>
      </w:r>
      <w:r>
        <w:t xml:space="preserve"> </w:t>
      </w:r>
      <w:r>
        <w:t xml:space="preserve">(e.g., Lundquist et al., 2021)</w:t>
      </w:r>
      <w:r>
        <w:t xml:space="preserve">.</w:t>
      </w:r>
    </w:p>
    <w:p>
      <w:pPr>
        <w:numPr>
          <w:ilvl w:val="0"/>
          <w:numId w:val="1001"/>
        </w:numPr>
      </w:pPr>
      <w:r>
        <w:t xml:space="preserve">While many processes occur simultaneously in reality i.e. high winds increasing I/P through horizontal particle trajectory and simultaneously reducing I/P due to unloading. Air temperature may increase I/P through increased cohesion but also may decrease I/P due to melt. Representing these individual processes is important for modelling subcanopy snow accumulation. However since representing all individual processes in models is not ideal it is crucial to determine which are the dominant processes important to represent</w:t>
      </w:r>
    </w:p>
    <w:p>
      <w:pPr>
        <w:numPr>
          <w:ilvl w:val="0"/>
          <w:numId w:val="1001"/>
        </w:numPr>
      </w:pPr>
      <w:r>
        <w:t xml:space="preserve">Recent observational studies</w:t>
      </w:r>
      <w:r>
        <w:t xml:space="preserve"> </w:t>
      </w:r>
      <w:r>
        <w:t xml:space="preserve">Xiao et al. (2019)</w:t>
      </w:r>
      <w:r>
        <w:t xml:space="preserve"> </w:t>
      </w:r>
      <w:r>
        <w:t xml:space="preserve">do not consider the possibility of subcanopy snowmelt artificially increasing their I/P values.</w:t>
      </w:r>
    </w:p>
    <w:p>
      <w:pPr>
        <w:numPr>
          <w:ilvl w:val="0"/>
          <w:numId w:val="1001"/>
        </w:numPr>
      </w:pPr>
      <w:r>
        <w:t xml:space="preserve">Objectives:</w:t>
      </w:r>
    </w:p>
    <w:p>
      <w:pPr>
        <w:numPr>
          <w:ilvl w:val="1"/>
          <w:numId w:val="1002"/>
        </w:numPr>
        <w:pStyle w:val="66"/>
      </w:pPr>
      <w:r>
        <w:t xml:space="preserve">To examine the dominant processes governing snow accumulation in a subalpine forest, that control the partitioning of snow interception in the canopy and the subsequent unloading to the ground.</w:t>
      </w:r>
    </w:p>
    <w:bookmarkEnd w:id="20"/>
    <w:bookmarkStart w:id="30" w:name="methods-study-area"/>
    <w:p>
      <w:pPr>
        <w:pStyle w:val="4"/>
      </w:pPr>
      <w:r>
        <w:t xml:space="preserve">0.2 Methods / Study Area</w:t>
      </w:r>
    </w:p>
    <w:tbl>
      <w:tblPr>
        <w:tblStyle w:val="Table"/>
        <w:tblW w:type="pct" w:w="5000"/>
        <w:tblLook w:firstRow="0" w:lastRow="0" w:firstColumn="0" w:lastColumn="0" w:noHBand="0" w:noVBand="0" w:val="0000"/>
        <w:jc w:val="start"/>
      </w:tblPr>
      <w:tblGrid>
        <w:gridCol w:w="7920"/>
      </w:tblGrid>
      <w:tr>
        <w:tc>
          <w:tcPr/>
          <w:bookmarkStart w:id="24" w:name="fig-map"/>
          <w:p>
            <w:pPr>
              <w:jc w:val="center"/>
            </w:pPr>
            <w:r>
              <w:drawing>
                <wp:inline>
                  <wp:extent cx="3105150" cy="2769934"/>
                  <wp:effectExtent b="0" l="0" r="0" t="0"/>
                  <wp:docPr descr="" title="" id="22" name="Picture"/>
                  <a:graphic>
                    <a:graphicData uri="http://schemas.openxmlformats.org/drawingml/2006/picture">
                      <pic:pic>
                        <pic:nvPicPr>
                          <pic:cNvPr descr="images/Screenshot%20from%202023-06-28%2009-42-43.png" id="23" name="Picture"/>
                          <pic:cNvPicPr>
                            <a:picLocks noChangeArrowheads="1" noChangeAspect="1"/>
                          </pic:cNvPicPr>
                        </pic:nvPicPr>
                        <pic:blipFill>
                          <a:blip r:embed="rId21"/>
                          <a:stretch>
                            <a:fillRect/>
                          </a:stretch>
                        </pic:blipFill>
                        <pic:spPr bwMode="auto">
                          <a:xfrm>
                            <a:off x="0" y="0"/>
                            <a:ext cx="3105150" cy="276993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Regional map of study site location (top left) and map of instrument locations and snow survey transect (bottom right)</w:t>
            </w:r>
          </w:p>
          <w:bookmarkEnd w:id="24"/>
        </w:tc>
      </w:tr>
    </w:tbl>
    <w:p>
      <w:pPr>
        <w:pStyle w:val="3"/>
      </w:pPr>
      <w:r>
        <w:t xml:space="preserve"> </w:t>
      </w:r>
    </w:p>
    <w:tbl>
      <w:tblPr>
        <w:tblStyle w:val="Table"/>
        <w:tblW w:type="pct" w:w="5000"/>
        <w:tblLook w:firstRow="0" w:lastRow="0" w:firstColumn="0" w:lastColumn="0" w:noHBand="0" w:noVBand="0" w:val="0000"/>
        <w:jc w:val="start"/>
      </w:tblPr>
      <w:tblGrid>
        <w:gridCol w:w="7920"/>
      </w:tblGrid>
      <w:tr>
        <w:tc>
          <w:tcPr/>
          <w:bookmarkStart w:id="28" w:name="fig-mass-bal"/>
          <w:p>
            <w:pPr>
              <w:jc w:val="center"/>
            </w:pPr>
            <w:r>
              <w:drawing>
                <wp:inline>
                  <wp:extent cx="4248150" cy="3282661"/>
                  <wp:effectExtent b="0" l="0" r="0" t="0"/>
                  <wp:docPr descr="" title="" id="26" name="Picture"/>
                  <a:graphic>
                    <a:graphicData uri="http://schemas.openxmlformats.org/drawingml/2006/picture">
                      <pic:pic>
                        <pic:nvPicPr>
                          <pic:cNvPr descr="images/IMG_4319_bitmap_5_mass_bal_new_sym.png" id="27" name="Picture"/>
                          <pic:cNvPicPr>
                            <a:picLocks noChangeArrowheads="1" noChangeAspect="1"/>
                          </pic:cNvPicPr>
                        </pic:nvPicPr>
                        <pic:blipFill>
                          <a:blip r:embed="rId25"/>
                          <a:stretch>
                            <a:fillRect/>
                          </a:stretch>
                        </pic:blipFill>
                        <pic:spPr bwMode="auto">
                          <a:xfrm>
                            <a:off x="0" y="0"/>
                            <a:ext cx="4248150" cy="328266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mass balance of intercepted snow in a coniferous forest canopy and the subcanopy snowpack. The colours of the arrows correspond to the water phase: solid (purple), liquid (blue) and vapour (light green). The head of the arrow indicates a positive flux either into the control volume (positive) or away from the control volume (negative). Note that the fluxes may transition between positive and negative. In the case of sublimation, from the canopy or snowpack, the flux may be positive (sublimation) or negative (deposition). This figure was adapted from Pomeroy and Gray, (1995).</w:t>
            </w:r>
          </w:p>
          <w:bookmarkEnd w:id="28"/>
        </w:tc>
      </w:tr>
    </w:tbl>
    <w:p>
      <w:pPr>
        <w:pStyle w:val="3"/>
      </w:pPr>
      <w:r>
        <w:t xml:space="preserve">The change in canopy SWE storage,</w:t>
      </w:r>
      <w:r>
        <w:t xml:space="preserve"> </w:t>
      </w:r>
      <m:oMath>
        <m:r>
          <m:t>W</m:t>
        </m:r>
      </m:oMath>
      <w:r>
        <w:t xml:space="preserve"> </w:t>
      </w:r>
      <w:r>
        <w:t xml:space="preserve">(mm), may be represented as:</w:t>
      </w:r>
    </w:p>
    <w:p>
      <w:pPr>
        <w:pStyle w:val="3"/>
      </w:pPr>
      <w:bookmarkStart w:id="29" w:name="eq-canopy-mass-flux"/>
      <m:oMathPara>
        <m:oMathParaPr>
          <m:jc m:val="center"/>
        </m:oMathParaPr>
        <m:oMath>
          <m:f>
            <m:fPr>
              <m:type m:val="bar"/>
            </m:fPr>
            <m:num>
              <m:r>
                <m:t>d</m:t>
              </m:r>
              <m:r>
                <m:t>W</m:t>
              </m:r>
            </m:num>
            <m:den>
              <m:r>
                <m:t>d</m:t>
              </m:r>
              <m:r>
                <m:t>t</m:t>
              </m:r>
            </m:den>
          </m:f>
          <m:r>
            <m:rPr>
              <m:sty m:val="p"/>
            </m:rPr>
            <m:t>=</m:t>
          </m:r>
          <m:sSub>
            <m:e>
              <m:r>
                <m:t>q</m:t>
              </m:r>
            </m:e>
            <m:sub>
              <m:r>
                <m:t>s</m:t>
              </m:r>
              <m:r>
                <m:t>f</m:t>
              </m:r>
            </m:sub>
          </m:sSub>
          <m:r>
            <m:rPr>
              <m:sty m:val="p"/>
            </m:rPr>
            <m:t>−</m:t>
          </m:r>
          <m:sSub>
            <m:e>
              <m:r>
                <m:t>q</m:t>
              </m:r>
            </m:e>
            <m:sub>
              <m:r>
                <m:t>t</m:t>
              </m:r>
              <m:r>
                <m:t>f</m:t>
              </m:r>
            </m:sub>
          </m:sSub>
          <m:d>
            <m:dPr>
              <m:begChr m:val="("/>
              <m:endChr m:val=")"/>
              <m:sepChr m:val=""/>
              <m:grow/>
            </m:dPr>
            <m:e>
              <m:r>
                <m:t>W</m:t>
              </m:r>
            </m:e>
          </m:d>
          <m:r>
            <m:rPr>
              <m:sty m:val="p"/>
            </m:rPr>
            <m:t>−</m:t>
          </m:r>
          <m:sSub>
            <m:e>
              <m:r>
                <m:t>q</m:t>
              </m:r>
            </m:e>
            <m:sub>
              <m:r>
                <m:t>u</m:t>
              </m:r>
              <m:r>
                <m:t>n</m:t>
              </m:r>
              <m:r>
                <m:t>l</m:t>
              </m:r>
              <m:r>
                <m:t>d</m:t>
              </m:r>
            </m:sub>
          </m:sSub>
          <m:d>
            <m:dPr>
              <m:begChr m:val="("/>
              <m:endChr m:val=")"/>
              <m:sepChr m:val=""/>
              <m:grow/>
            </m:dPr>
            <m:e>
              <m:r>
                <m:t>W</m:t>
              </m:r>
            </m:e>
          </m:d>
          <m:r>
            <m:rPr>
              <m:sty m:val="p"/>
            </m:rPr>
            <m:t>−</m:t>
          </m:r>
          <m:sSub>
            <m:e>
              <m:r>
                <m:t>q</m:t>
              </m:r>
            </m:e>
            <m:sub>
              <m:r>
                <m:t>d</m:t>
              </m:r>
              <m:r>
                <m:t>r</m:t>
              </m:r>
              <m:r>
                <m:t>i</m:t>
              </m:r>
              <m:r>
                <m:t>p</m:t>
              </m:r>
            </m:sub>
          </m:sSub>
          <m:d>
            <m:dPr>
              <m:begChr m:val="("/>
              <m:endChr m:val=")"/>
              <m:sepChr m:val=""/>
              <m:grow/>
            </m:dPr>
            <m:e>
              <m:r>
                <m:t>W</m:t>
              </m:r>
            </m:e>
          </m:d>
          <m:r>
            <m:rPr>
              <m:sty m:val="p"/>
            </m:rPr>
            <m:t>−</m:t>
          </m:r>
          <m:sSubSup>
            <m:e>
              <m:r>
                <m:t>q</m:t>
              </m:r>
            </m:e>
            <m:sub>
              <m:r>
                <m:t>w</m:t>
              </m:r>
              <m:r>
                <m:t>i</m:t>
              </m:r>
              <m:r>
                <m:t>n</m:t>
              </m:r>
              <m:r>
                <m:t>d</m:t>
              </m:r>
            </m:sub>
            <m:sup>
              <m:r>
                <m:t>v</m:t>
              </m:r>
              <m:r>
                <m:t>e</m:t>
              </m:r>
              <m:r>
                <m:t>g</m:t>
              </m:r>
            </m:sup>
          </m:sSubSup>
          <m:d>
            <m:dPr>
              <m:begChr m:val="("/>
              <m:endChr m:val=")"/>
              <m:sepChr m:val=""/>
              <m:grow/>
            </m:dPr>
            <m:e>
              <m:r>
                <m:t>W</m:t>
              </m:r>
            </m:e>
          </m:d>
          <m:r>
            <m:rPr>
              <m:sty m:val="p"/>
            </m:rPr>
            <m:t>−</m:t>
          </m:r>
          <m:sSubSup>
            <m:e>
              <m:r>
                <m:t>q</m:t>
              </m:r>
            </m:e>
            <m:sub>
              <m:r>
                <m:t>s</m:t>
              </m:r>
              <m:r>
                <m:t>u</m:t>
              </m:r>
              <m:r>
                <m:t>b</m:t>
              </m:r>
            </m:sub>
            <m:sup>
              <m:r>
                <m:t>v</m:t>
              </m:r>
              <m:r>
                <m:t>e</m:t>
              </m:r>
              <m:r>
                <m:t>g</m:t>
              </m:r>
            </m:sup>
          </m:sSubSup>
          <m:d>
            <m:dPr>
              <m:begChr m:val="("/>
              <m:endChr m:val=")"/>
              <m:sepChr m:val=""/>
              <m:grow/>
            </m:dPr>
            <m:e>
              <m:r>
                <m:t>W</m:t>
              </m:r>
            </m:e>
          </m:d>
          <m:r>
            <m:t>  </m:t>
          </m:r>
          <m:d>
            <m:dPr>
              <m:begChr m:val="("/>
              <m:endChr m:val=")"/>
              <m:sepChr m:val=""/>
              <m:grow/>
            </m:dPr>
            <m:e>
              <m:r>
                <m:t>1</m:t>
              </m:r>
            </m:e>
          </m:d>
        </m:oMath>
      </m:oMathPara>
      <w:bookmarkEnd w:id="29"/>
    </w:p>
    <w:p>
      <w:pPr>
        <w:pStyle w:val="65"/>
      </w:pPr>
      <w:r>
        <w:t xml:space="preserve">where</w:t>
      </w:r>
      <w:r>
        <w:t xml:space="preserve"> </w:t>
      </w:r>
      <m:oMath>
        <m:sSub>
          <m:e>
            <m:r>
              <m:t>q</m:t>
            </m:r>
          </m:e>
          <m:sub>
            <m:r>
              <m:t>s</m:t>
            </m:r>
            <m:r>
              <m:t>f</m:t>
            </m:r>
          </m:sub>
        </m:sSub>
      </m:oMath>
      <w:r>
        <w:t xml:space="preserve"> </w:t>
      </w:r>
      <w:r>
        <w:t xml:space="preserve">(mm s</w:t>
      </w:r>
      <w:r>
        <w:rPr>
          <w:vertAlign w:val="superscript"/>
        </w:rPr>
        <w:t xml:space="preserve">-1</w:t>
      </w:r>
      <w:r>
        <w:t xml:space="preserve">) is the above canopy snowfall rate,</w:t>
      </w:r>
      <w:r>
        <w:t xml:space="preserve"> </w:t>
      </w:r>
      <m:oMath>
        <m:sSub>
          <m:e>
            <m:r>
              <m:t>q</m:t>
            </m:r>
          </m:e>
          <m:sub>
            <m:r>
              <m:t>t</m:t>
            </m:r>
            <m:r>
              <m:t>f</m:t>
            </m:r>
          </m:sub>
        </m:sSub>
      </m:oMath>
      <w:r>
        <w:t xml:space="preserve"> </w:t>
      </w:r>
      <w:r>
        <w:t xml:space="preserve">(mm s</w:t>
      </w:r>
      <w:r>
        <w:rPr>
          <w:vertAlign w:val="superscript"/>
        </w:rPr>
        <w:t xml:space="preserve">-1</w:t>
      </w:r>
      <w:r>
        <w:t xml:space="preserve">) is the throughfall rate,</w:t>
      </w:r>
      <w:r>
        <w:t xml:space="preserve"> </w:t>
      </w:r>
      <m:oMath>
        <m:sSubSup>
          <m:e>
            <m:r>
              <m:t>q</m:t>
            </m:r>
          </m:e>
          <m:sub>
            <m:r>
              <m:t>w</m:t>
            </m:r>
            <m:r>
              <m:t>i</m:t>
            </m:r>
            <m:r>
              <m:t>n</m:t>
            </m:r>
            <m:r>
              <m:t>d</m:t>
            </m:r>
          </m:sub>
          <m:sup>
            <m:r>
              <m:t>v</m:t>
            </m:r>
            <m:r>
              <m:t>e</m:t>
            </m:r>
            <m:r>
              <m:t>g</m:t>
            </m:r>
          </m:sup>
        </m:sSubSup>
      </m:oMath>
      <w:r>
        <w:t xml:space="preserve"> </w:t>
      </w:r>
      <w:r>
        <w:t xml:space="preserve">(mm s</w:t>
      </w:r>
      <w:r>
        <w:rPr>
          <w:vertAlign w:val="superscript"/>
        </w:rPr>
        <w:t xml:space="preserve">-1</w:t>
      </w:r>
      <w:r>
        <w:t xml:space="preserve">) is the wind transport rate in our out of the control volume (typically assumed to be negligible in the literature),</w:t>
      </w:r>
      <w:r>
        <w:t xml:space="preserve"> </w:t>
      </w:r>
      <m:oMath>
        <m:sSubSup>
          <m:e>
            <m:r>
              <m:t>q</m:t>
            </m:r>
          </m:e>
          <m:sub>
            <m:r>
              <m:t>s</m:t>
            </m:r>
            <m:r>
              <m:t>u</m:t>
            </m:r>
            <m:r>
              <m:t>b</m:t>
            </m:r>
          </m:sub>
          <m:sup>
            <m:r>
              <m:t>v</m:t>
            </m:r>
            <m:r>
              <m:t>e</m:t>
            </m:r>
            <m:r>
              <m:t>g</m:t>
            </m:r>
          </m:sup>
        </m:sSubSup>
      </m:oMath>
      <w:r>
        <w:t xml:space="preserve"> </w:t>
      </w:r>
      <w:r>
        <w:t xml:space="preserve">(mm s</w:t>
      </w:r>
      <w:r>
        <w:rPr>
          <w:vertAlign w:val="superscript"/>
        </w:rPr>
        <w:t xml:space="preserve">-1</w:t>
      </w:r>
      <w:r>
        <w:t xml:space="preserve">) is the intercepted snow sublimation rate,</w:t>
      </w:r>
      <w:r>
        <w:t xml:space="preserve"> </w:t>
      </w:r>
      <m:oMath>
        <m:sSub>
          <m:e>
            <m:r>
              <m:t>q</m:t>
            </m:r>
          </m:e>
          <m:sub>
            <m:r>
              <m:t>u</m:t>
            </m:r>
            <m:r>
              <m:t>n</m:t>
            </m:r>
            <m:r>
              <m:t>l</m:t>
            </m:r>
            <m:r>
              <m:t>d</m:t>
            </m:r>
          </m:sub>
        </m:sSub>
      </m:oMath>
      <w:r>
        <w:t xml:space="preserve"> </w:t>
      </w:r>
      <w:r>
        <w:t xml:space="preserve">(mm s</w:t>
      </w:r>
      <w:r>
        <w:rPr>
          <w:vertAlign w:val="superscript"/>
        </w:rPr>
        <w:t xml:space="preserve">-1</w:t>
      </w:r>
      <w:r>
        <w:t xml:space="preserve">) is the canopy snow unloading rate and</w:t>
      </w:r>
      <w:r>
        <w:t xml:space="preserve"> </w:t>
      </w:r>
      <m:oMath>
        <m:sSub>
          <m:e>
            <m:r>
              <m:t>q</m:t>
            </m:r>
          </m:e>
          <m:sub>
            <m:r>
              <m:t>d</m:t>
            </m:r>
            <m:r>
              <m:t>r</m:t>
            </m:r>
            <m:r>
              <m:t>i</m:t>
            </m:r>
            <m:r>
              <m:t>p</m:t>
            </m:r>
          </m:sub>
        </m:sSub>
      </m:oMath>
      <w:r>
        <w:t xml:space="preserve"> </w:t>
      </w:r>
      <w:r>
        <w:t xml:space="preserve">(mm s</w:t>
      </w:r>
      <w:r>
        <w:rPr>
          <w:vertAlign w:val="superscript"/>
        </w:rPr>
        <w:t xml:space="preserve">-1</w:t>
      </w:r>
      <w:r>
        <w:t xml:space="preserve">) is the canopy snow drip rate due to canopy snowmelt.</w:t>
      </w:r>
      <w:r>
        <w:t xml:space="preserve"> </w:t>
      </w:r>
      <m:oMath>
        <m:sSubSup>
          <m:e>
            <m:r>
              <m:t>q</m:t>
            </m:r>
          </m:e>
          <m:sub>
            <m:r>
              <m:t>w</m:t>
            </m:r>
            <m:r>
              <m:t>i</m:t>
            </m:r>
            <m:r>
              <m:t>n</m:t>
            </m:r>
            <m:r>
              <m:t>d</m:t>
            </m:r>
          </m:sub>
          <m:sup>
            <m:r>
              <m:t>v</m:t>
            </m:r>
            <m:r>
              <m:t>e</m:t>
            </m:r>
            <m:r>
              <m:t>g</m:t>
            </m:r>
          </m:sup>
        </m:sSubSup>
      </m:oMath>
      <w:r>
        <w:t xml:space="preserve"> </w:t>
      </w:r>
      <w:r>
        <w:t xml:space="preserve">and</w:t>
      </w:r>
      <w:r>
        <w:t xml:space="preserve"> </w:t>
      </w:r>
      <m:oMath>
        <m:sSubSup>
          <m:e>
            <m:r>
              <m:t>q</m:t>
            </m:r>
          </m:e>
          <m:sub>
            <m:r>
              <m:t>s</m:t>
            </m:r>
            <m:r>
              <m:t>u</m:t>
            </m:r>
            <m:r>
              <m:t>b</m:t>
            </m:r>
          </m:sub>
          <m:sup>
            <m:r>
              <m:t>v</m:t>
            </m:r>
            <m:r>
              <m:t>e</m:t>
            </m:r>
            <m:r>
              <m:t>g</m:t>
            </m:r>
          </m:sup>
        </m:sSubSup>
      </m:oMath>
      <w:r>
        <w:t xml:space="preserve"> </w:t>
      </w:r>
      <w:r>
        <w:t xml:space="preserve">may be a positive or negative flux. Where all of the above rates are a function of snow load (</w:t>
      </w:r>
      <m:oMath>
        <m:r>
          <m:t>W</m:t>
        </m:r>
      </m:oMath>
      <w:r>
        <w:t xml:space="preserve">), which is how much snow is present in the canopy.</w:t>
      </w:r>
    </w:p>
    <w:bookmarkEnd w:id="30"/>
    <w:bookmarkStart w:id="59" w:name="results"/>
    <w:p>
      <w:pPr>
        <w:pStyle w:val="4"/>
      </w:pPr>
      <w:r>
        <w:t xml:space="preserve">0.3 Results</w:t>
      </w:r>
    </w:p>
    <w:bookmarkStart w:id="38" w:name="Xf42c53d71beb2ffe9199473e36d8bba653b0208"/>
    <w:p>
      <w:pPr>
        <w:pStyle w:val="5"/>
      </w:pPr>
      <w:r>
        <w:t xml:space="preserve">0.3.1 What are the forest structure effects on snow interception?</w:t>
      </w:r>
    </w:p>
    <w:p>
      <w:pPr>
        <w:pStyle w:val="65"/>
      </w:pPr>
      <w:r>
        <w:t xml:space="preserve">During calm events (10 m wind speed &lt; 3.7 m s-1) I/P is strongly associated with forest structure metrics LAI and CC across all of the snow survey stations. Canopy closure explains the most variability in I/P at a zenith angle of 30 degrees, while LAI has more variability explained at 35 and 60 degrees. A wider zenith angle incorporates more information about the forest surrounding the snow survey station and may better represent the forest structure important in controlling snowpack accumulation in mountain forests with high wind speeds which lead to horizontal snowflake trajectories. During high wind speed events (10 m wind speed &gt; 3.9 m s-1) the explanatory power of LAI and CC is reduced and an increase in I/P is observed at locations with low LAI and CC while reducing I/P in locations with higher LAI and CC due to wind induced unloading. Since snow survey data was used here some unloading and wind redistribution may have also affected these results.</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2540000"/>
                  <wp:effectExtent b="0" l="0" r="0" t="0"/>
                  <wp:docPr descr="" title="" id="32" name="Picture"/>
                  <a:graphic>
                    <a:graphicData uri="http://schemas.openxmlformats.org/drawingml/2006/picture">
                      <pic:pic>
                        <pic:nvPicPr>
                          <pic:cNvPr descr="images/scatter_lai_IP_w_wind.bmp" id="33"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Snow interception efficiency observed across snow survey stations with differing Leaf Area Index. The observed data has been binned into calm (10 m wind speed &lt; 3.7 ms) and windy (10 m wind speed &gt; 3.9 ms) classes.</w:t>
            </w:r>
          </w:p>
        </w:tc>
      </w:tr>
    </w:tbl>
    <w:p>
      <w:pPr>
        <w:pStyle w:val="3"/>
      </w:pPr>
      <w:r>
        <w:t xml:space="preserve"> </w:t>
      </w:r>
    </w:p>
    <w:tbl>
      <w:tblPr>
        <w:tblStyle w:val="Table"/>
        <w:tblW w:type="pct" w:w="5000"/>
        <w:tblLook w:firstRow="0" w:lastRow="0" w:firstColumn="0" w:lastColumn="0" w:noHBand="0" w:noVBand="0" w:val="0000"/>
        <w:jc w:val="start"/>
      </w:tblPr>
      <w:tblGrid>
        <w:gridCol w:w="7920"/>
      </w:tblGrid>
      <w:tr>
        <w:tc>
          <w:tcPr/>
          <w:bookmarkStart w:id="37" w:name="fig-ip-cc"/>
          <w:p>
            <w:pPr>
              <w:jc w:val="center"/>
            </w:pPr>
            <w:r>
              <w:drawing>
                <wp:inline>
                  <wp:extent cx="3810000" cy="2540000"/>
                  <wp:effectExtent b="0" l="0" r="0" t="0"/>
                  <wp:docPr descr="" title="" id="35" name="Picture"/>
                  <a:graphic>
                    <a:graphicData uri="http://schemas.openxmlformats.org/drawingml/2006/picture">
                      <pic:pic>
                        <pic:nvPicPr>
                          <pic:cNvPr descr="images/scatter_cc_IP_w_wind.bmp" id="36" name="Picture"/>
                          <pic:cNvPicPr>
                            <a:picLocks noChangeArrowheads="1" noChangeAspect="1"/>
                          </pic:cNvPicPr>
                        </pic:nvPicPr>
                        <pic:blipFill>
                          <a:blip r:embed="rId34"/>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Snow interception efficiency observed across snow survey stations with different canopy coverage. The observed data has been binned into calm (10 m wind speed &lt; 3.7 ms) and windy (10 m wind speed &gt; 3.9 ms) classes.</w:t>
            </w:r>
          </w:p>
          <w:bookmarkEnd w:id="37"/>
        </w:tc>
      </w:tr>
    </w:tbl>
    <w:p>
      <w:pPr>
        <w:numPr>
          <w:ilvl w:val="0"/>
          <w:numId w:val="1003"/>
        </w:numPr>
        <w:pStyle w:val="66"/>
      </w:pPr>
      <w:r>
        <w:t xml:space="preserve">(</w:t>
      </w:r>
      <w:r>
        <w:rPr>
          <w:bCs/>
          <w:b/>
        </w:rPr>
        <w:t xml:space="preserve">todo?</w:t>
      </w:r>
      <w:r>
        <w:t xml:space="preserve">)</w:t>
      </w:r>
      <w:r>
        <w:t xml:space="preserve"> </w:t>
      </w:r>
      <w:r>
        <w:t xml:space="preserve">could add to this using LiDAR derived snow depth increase over a few select snow surveys.</w:t>
      </w:r>
    </w:p>
    <w:bookmarkEnd w:id="38"/>
    <w:bookmarkStart w:id="48" w:name="X117c0abc209eb44afdf46936a7662408aad290e"/>
    <w:p>
      <w:pPr>
        <w:pStyle w:val="5"/>
      </w:pPr>
      <w:r>
        <w:t xml:space="preserve">0.3.2 What are the meteorological effects of snow interception?</w:t>
      </w:r>
    </w:p>
    <w:p>
      <w:pPr>
        <w:pStyle w:val="65"/>
      </w:pPr>
      <w:r>
        <w:rPr>
          <w:iCs/>
          <w:i/>
        </w:rPr>
        <w:t xml:space="preserve">Event Snowfall</w:t>
      </w:r>
    </w:p>
    <w:p>
      <w:pPr>
        <w:pStyle w:val="3"/>
      </w:pPr>
      <w:r>
        <w:t xml:space="preserve">The weighed tree and medium density lysimeter show a decline in the I/P observed with increasing total event snowfall. The sparse forest lysimeter may not be sensitive to the snow interception capacity of the canopy as branches did not unload directly into this lysimeter. Therefore when the surrounding canopy filled with snow and began unloading additional snow did not effect the sparse trough. At the medium forest lysimeter branches unload into lysimeter thereby reducing the I/P in the medium forest. The shape of the decline in I/P observed at the weighed tree and medium forest lysimeter is similar to the</w:t>
      </w:r>
      <w:r>
        <w:t xml:space="preserve"> </w:t>
      </w:r>
      <w:r>
        <w:t xml:space="preserve">Hedstrom &amp; Pomeroy (1998)</w:t>
      </w:r>
      <w:r>
        <w:t xml:space="preserve"> </w:t>
      </w:r>
      <w:r>
        <w:t xml:space="preserve">curve however at a much reduced rate. This means the forest observed here may have a higher species specific snow holding capacity compared to the default value used in</w:t>
      </w:r>
      <w:r>
        <w:t xml:space="preserve"> </w:t>
      </w:r>
      <w:r>
        <w:t xml:space="preserve">Ellis et al. (2013)</w:t>
      </w:r>
      <w:r>
        <w:t xml:space="preserve"> </w:t>
      </w:r>
      <w:r>
        <w:t xml:space="preserve">and shows the importance of using locally derived coefficients.</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2540000"/>
                  <wp:effectExtent b="0" l="0" r="0" t="0"/>
                  <wp:docPr descr="" title="" id="40" name="Picture"/>
                  <a:graphic>
                    <a:graphicData uri="http://schemas.openxmlformats.org/drawingml/2006/picture">
                      <pic:pic>
                        <pic:nvPicPr>
                          <pic:cNvPr descr="images/P_vs_IP_facet_instrument.bmp" id="41" name="Picture"/>
                          <pic:cNvPicPr>
                            <a:picLocks noChangeArrowheads="1" noChangeAspect="1"/>
                          </pic:cNvPicPr>
                        </pic:nvPicPr>
                        <pic:blipFill>
                          <a:blip r:embed="rId39"/>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Interception efficiency measured using different methods across a range of snowfall event sizes.</w:t>
            </w:r>
          </w:p>
        </w:tc>
      </w:tr>
    </w:tbl>
    <w:p>
      <w:pPr>
        <w:pStyle w:val="3"/>
      </w:pPr>
      <w:r>
        <w:rPr>
          <w:iCs/>
          <w:i/>
        </w:rPr>
        <w:t xml:space="preserve">Air Temperature</w:t>
      </w:r>
    </w:p>
    <w:p>
      <w:pPr>
        <w:pStyle w:val="3"/>
      </w:pPr>
      <w:r>
        <w:t xml:space="preserve">Air temperature was observed to have little influence over interception efficiency measured using the weighed tree and lysimeters . Snow surveys were not included here due to snowpack melt and unloading which could not be accounted for. It is possible that the negative influence of warmer temperature on I/P depends on tree species and was not observed at this site which are dominated by equal parts spruce and fir. Evidence of a positive influence of warm temperatures raising I/P was observed with the snow survey data however after careful investigation of time-lapse imagery this increase was due to subcanopy snow melt and not due to snow caught in the canopy which artificially raised the I/P value.</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2540000"/>
                  <wp:effectExtent b="0" l="0" r="0" t="0"/>
                  <wp:docPr descr="" title="" id="43" name="Picture"/>
                  <a:graphic>
                    <a:graphicData uri="http://schemas.openxmlformats.org/drawingml/2006/picture">
                      <pic:pic>
                        <pic:nvPicPr>
                          <pic:cNvPr descr="images/P_vs_at_facet_instrument.bmp" id="44" name="Picture"/>
                          <pic:cNvPicPr>
                            <a:picLocks noChangeArrowheads="1" noChangeAspect="1"/>
                          </pic:cNvPicPr>
                        </pic:nvPicPr>
                        <pic:blipFill>
                          <a:blip r:embed="rId42"/>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Interception efficiency measured using different methods across a range of air temperatures.</w:t>
            </w:r>
          </w:p>
        </w:tc>
      </w:tr>
    </w:tbl>
    <w:p>
      <w:pPr>
        <w:pStyle w:val="3"/>
      </w:pPr>
      <w:r>
        <w:rPr>
          <w:iCs/>
          <w:i/>
        </w:rPr>
        <w:t xml:space="preserve">Wind Speed</w:t>
      </w:r>
    </w:p>
    <w:p>
      <w:pPr>
        <w:pStyle w:val="3"/>
      </w:pPr>
      <w:r>
        <w:t xml:space="preserve">Frequent automated measurements show an increase in I/P with increasing wind speed measured with the weighed tree and lysimeters. This effect was most apparent under sparser canopy as this lysimeter was not directly affected by unloading of snow into the lysimeter which may have reduced I/P during higher wind events in the medium forest lysimeter. The increase in I/P with increasing wind speed is expected as the horizontal particle trajectory of the snowflake becomes more horizontal thereby increasing the effective canopy coverage of the forest. Since unloading and wind redistribution of snow is higher with higher wind speeds, this effect of increase I/P with wind speed was not observed in the snow survey data as they were collected over longer time periods and thus include more unloading and redistribution.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2540000"/>
                  <wp:effectExtent b="0" l="0" r="0" t="0"/>
                  <wp:docPr descr="" title="" id="46" name="Picture"/>
                  <a:graphic>
                    <a:graphicData uri="http://schemas.openxmlformats.org/drawingml/2006/picture">
                      <pic:pic>
                        <pic:nvPicPr>
                          <pic:cNvPr descr="images/P_vs_wnd_facet_instrument.bmp" id="47" name="Picture"/>
                          <pic:cNvPicPr>
                            <a:picLocks noChangeArrowheads="1" noChangeAspect="1"/>
                          </pic:cNvPicPr>
                        </pic:nvPicPr>
                        <pic:blipFill>
                          <a:blip r:embed="rId45"/>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Interception efficiency measured using different methods across a range of wind speeds.</w:t>
            </w:r>
          </w:p>
        </w:tc>
      </w:tr>
    </w:tbl>
    <w:p>
      <w:pPr>
        <w:numPr>
          <w:ilvl w:val="0"/>
          <w:numId w:val="1004"/>
        </w:numPr>
      </w:pPr>
      <w:r>
        <w:t xml:space="preserve">(</w:t>
      </w:r>
      <w:r>
        <w:rPr>
          <w:bCs/>
          <w:b/>
        </w:rPr>
        <w:t xml:space="preserve">todo?</w:t>
      </w:r>
      <w:r>
        <w:t xml:space="preserve">)</w:t>
      </w:r>
      <w:r>
        <w:t xml:space="preserve"> </w:t>
      </w:r>
      <w:r>
        <w:t xml:space="preserve">remove snow surveys here as they include unloading</w:t>
      </w:r>
    </w:p>
    <w:p>
      <w:pPr>
        <w:numPr>
          <w:ilvl w:val="0"/>
          <w:numId w:val="1004"/>
        </w:numPr>
      </w:pPr>
      <w:r>
        <w:t xml:space="preserve">could add some lidar analysis here</w:t>
      </w:r>
    </w:p>
    <w:bookmarkEnd w:id="48"/>
    <w:bookmarkStart w:id="58" w:name="X9500ecd9241ea7f54d78b2a2292ad616abfcafb"/>
    <w:p>
      <w:pPr>
        <w:pStyle w:val="5"/>
      </w:pPr>
      <w:r>
        <w:t xml:space="preserve">0.3.3 What are the meteorological effects on canopy snow unloading?</w:t>
      </w:r>
    </w:p>
    <w:p>
      <w:pPr>
        <w:pStyle w:val="65"/>
      </w:pPr>
      <w:r>
        <w:t xml:space="preserve">To investigate the influence of meteorology on canopy snow unloading unloading rates were calculated using the lysimeters for events with a range of wind speeds and ice bulb temperatures. Higher unloading rates were associated with high wind speed or high ice bulb temperature or a combination of both factors. Ice bulb temperature was observed to have a stronger relationship with unloading rates compared to air temperature since the ice bulb temperature is strongly related to sublimation and snowmelt rates which both influence the cohesion and adhesion of snow clumps in the canopy.</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2540000"/>
                  <wp:effectExtent b="0" l="0" r="0" t="0"/>
                  <wp:docPr descr="" title="" id="50" name="Picture"/>
                  <a:graphic>
                    <a:graphicData uri="http://schemas.openxmlformats.org/drawingml/2006/picture">
                      <pic:pic>
                        <pic:nvPicPr>
                          <pic:cNvPr descr="images/fingerprint_plot_icebulb_wind_q_unl.bmp" id="51" name="Picture"/>
                          <pic:cNvPicPr>
                            <a:picLocks noChangeArrowheads="1" noChangeAspect="1"/>
                          </pic:cNvPicPr>
                        </pic:nvPicPr>
                        <pic:blipFill>
                          <a:blip r:embed="rId49"/>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The unloading rate of canopy snow shown at different observed ice bulb temperatures and 5 m wind speeds.</w:t>
            </w:r>
          </w:p>
        </w:tc>
      </w:tr>
    </w:tbl>
    <w:p>
      <w:pPr>
        <w:pStyle w:val="3"/>
      </w:pPr>
      <w:r>
        <w:t xml:space="preserve">Below is using heavily filtered data, all of the observations of the ice bulb temp plot have low wind speeds and all of the obs in the within canopy wind speed plot have low temperatures. John suggested it would be better to use a multivariate regression here if possible.</w:t>
      </w:r>
    </w:p>
    <w:p>
      <w:pPr>
        <w:numPr>
          <w:ilvl w:val="0"/>
          <w:numId w:val="1005"/>
        </w:numPr>
        <w:pStyle w:val="66"/>
      </w:pPr>
      <w:r>
        <w:t xml:space="preserve">Ice Bulb Temperature</w:t>
      </w:r>
    </w:p>
    <w:p>
      <w:pPr>
        <w:pStyle w:val="65"/>
      </w:pPr>
      <w:r>
        <w:drawing>
          <wp:inline>
            <wp:extent cx="3810000" cy="2540000"/>
            <wp:effectExtent b="0" l="0" r="0" t="0"/>
            <wp:docPr descr="" title="" id="53" name="Picture"/>
            <a:graphic>
              <a:graphicData uri="http://schemas.openxmlformats.org/drawingml/2006/picture">
                <pic:pic>
                  <pic:nvPicPr>
                    <pic:cNvPr descr="images/fortress_warm_events_bin_temp_avg_unloading.bmp"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numPr>
          <w:ilvl w:val="0"/>
          <w:numId w:val="1006"/>
        </w:numPr>
        <w:pStyle w:val="66"/>
      </w:pPr>
      <w:r>
        <w:t xml:space="preserve">Within Canopy Wind Speed</w:t>
      </w:r>
    </w:p>
    <w:p>
      <w:pPr>
        <w:pStyle w:val="65"/>
      </w:pPr>
      <w:r>
        <w:drawing>
          <wp:inline>
            <wp:extent cx="3810000" cy="2540000"/>
            <wp:effectExtent b="0" l="0" r="0" t="0"/>
            <wp:docPr descr="" title="" id="56" name="Picture"/>
            <a:graphic>
              <a:graphicData uri="http://schemas.openxmlformats.org/drawingml/2006/picture">
                <pic:pic>
                  <pic:nvPicPr>
                    <pic:cNvPr descr="images/fortress_windy_events_bin_wind_pwl_wind_3cup_avg_unloading.bmp" id="57" name="Picture"/>
                    <pic:cNvPicPr>
                      <a:picLocks noChangeArrowheads="1" noChangeAspect="1"/>
                    </pic:cNvPicPr>
                  </pic:nvPicPr>
                  <pic:blipFill>
                    <a:blip r:embed="rId55"/>
                    <a:stretch>
                      <a:fillRect/>
                    </a:stretch>
                  </pic:blipFill>
                  <pic:spPr bwMode="auto">
                    <a:xfrm>
                      <a:off x="0" y="0"/>
                      <a:ext cx="3810000" cy="2540000"/>
                    </a:xfrm>
                    <a:prstGeom prst="rect">
                      <a:avLst/>
                    </a:prstGeom>
                    <a:noFill/>
                    <a:ln w="9525">
                      <a:noFill/>
                      <a:headEnd/>
                      <a:tailEnd/>
                    </a:ln>
                  </pic:spPr>
                </pic:pic>
              </a:graphicData>
            </a:graphic>
          </wp:inline>
        </w:drawing>
      </w:r>
    </w:p>
    <w:p>
      <w:pPr>
        <w:numPr>
          <w:ilvl w:val="0"/>
          <w:numId w:val="1007"/>
        </w:numPr>
      </w:pPr>
      <w:r>
        <w:t xml:space="preserve">Parameterization assessment at the end if space</w:t>
      </w:r>
    </w:p>
    <w:p>
      <w:pPr>
        <w:numPr>
          <w:ilvl w:val="0"/>
          <w:numId w:val="1007"/>
        </w:numPr>
      </w:pPr>
      <w:r>
        <w:t xml:space="preserve">Discussion</w:t>
      </w:r>
    </w:p>
    <w:p>
      <w:pPr>
        <w:numPr>
          <w:ilvl w:val="1"/>
          <w:numId w:val="1008"/>
        </w:numPr>
      </w:pPr>
      <w:r>
        <w:t xml:space="preserve">4 m/s wind speed at 10 m is approaching the minimum threshold for blowing snow on the surface which is likely causing some unloading during the accumulation period and perhaps some blowing snow redistribution on the surface.</w:t>
      </w:r>
    </w:p>
    <w:p>
      <w:pPr>
        <w:numPr>
          <w:ilvl w:val="1"/>
          <w:numId w:val="1008"/>
        </w:numPr>
      </w:pPr>
      <w:r>
        <w:t xml:space="preserve">With increased wind speed there is a corresponding increase in canopy contact area due to falling snow particle trajectories in the wind becoming more horizontal. This thoery is included in Hp98 but is often neglected, since it has yet to be confirmed with observed data</w:t>
      </w:r>
    </w:p>
    <w:p>
      <w:pPr>
        <w:numPr>
          <w:ilvl w:val="1"/>
          <w:numId w:val="1008"/>
        </w:numPr>
      </w:pPr>
      <w:r>
        <w:t xml:space="preserve">No evidence for initial increase in I/P with increasing event size as seen in</w:t>
      </w:r>
      <w:r>
        <w:t xml:space="preserve"> </w:t>
      </w:r>
      <w:r>
        <w:t xml:space="preserve">(Moeser et al., 2015; Satterlund &amp; Haupt, 1967)</w:t>
      </w:r>
    </w:p>
    <w:p>
      <w:pPr>
        <w:numPr>
          <w:ilvl w:val="0"/>
          <w:numId w:val="1007"/>
        </w:numPr>
      </w:pPr>
      <w:r>
        <w:t xml:space="preserve">Conclusion</w:t>
      </w:r>
    </w:p>
    <w:p>
      <w:pPr>
        <w:numPr>
          <w:ilvl w:val="1"/>
          <w:numId w:val="1009"/>
        </w:numPr>
      </w:pPr>
      <w:r>
        <w:t xml:space="preserve">Forest structure metrics calculated using high zenith angles better described the variability in interception efficiency.</w:t>
      </w:r>
    </w:p>
    <w:p>
      <w:pPr>
        <w:numPr>
          <w:ilvl w:val="1"/>
          <w:numId w:val="1009"/>
        </w:numPr>
      </w:pPr>
      <w:r>
        <w:t xml:space="preserve">Increasing wind speed reduced the association between forest structure and interception efficiency.</w:t>
      </w:r>
    </w:p>
    <w:p>
      <w:pPr>
        <w:numPr>
          <w:ilvl w:val="1"/>
          <w:numId w:val="1009"/>
        </w:numPr>
      </w:pPr>
      <w:r>
        <w:t xml:space="preserve">Higher wind speeds increased interception efficiency due to an associated increase in canopy contact area, while later decreasing intercepted load due to increased snow unloading.</w:t>
      </w:r>
    </w:p>
    <w:p>
      <w:pPr>
        <w:numPr>
          <w:ilvl w:val="1"/>
          <w:numId w:val="1009"/>
        </w:numPr>
      </w:pPr>
      <w:r>
        <w:t xml:space="preserve">Theories derived in dense cold canopies, including the exponential decline of I/P with increasing event size and the increase in I/P with wind speeds were applicable to this subalpine forest.</w:t>
      </w:r>
    </w:p>
    <w:p>
      <w:pPr>
        <w:numPr>
          <w:ilvl w:val="1"/>
          <w:numId w:val="1009"/>
        </w:numPr>
      </w:pPr>
      <w:r>
        <w:t xml:space="preserve">Air temperature had little influence on interception efficiency.</w:t>
      </w:r>
    </w:p>
    <w:p>
      <w:pPr>
        <w:numPr>
          <w:ilvl w:val="1"/>
          <w:numId w:val="1009"/>
        </w:numPr>
      </w:pPr>
      <w:r>
        <w:t xml:space="preserve">Canopy snow unloading rates were strongly and non-linearly related to both ice bulb temperature and above canopy wind speed.</w:t>
      </w:r>
    </w:p>
    <w:p>
      <w:r>
        <w:br w:type="page"/>
      </w:r>
    </w:p>
    <w:bookmarkEnd w:id="58"/>
    <w:bookmarkEnd w:id="59"/>
    <w:bookmarkStart w:id="77" w:name="references"/>
    <w:p>
      <w:pPr>
        <w:pStyle w:val="2"/>
      </w:pPr>
      <w:r>
        <w:t xml:space="preserve">1. References</w:t>
      </w:r>
    </w:p>
    <w:bookmarkStart w:id="76" w:name="refs"/>
    <w:bookmarkStart w:id="61" w:name="ref-Clark2015"/>
    <w:p>
      <w:pPr>
        <w:pStyle w:val="69"/>
      </w:pPr>
      <w:r>
        <w:t xml:space="preserve">Clark, M. P., Nijssen, B., Lundquist, J. D., Kavetski, D., Rupp, D. E., Woods, R. A., Freer, J. E., Gutmann, E. D., Wood, A. W., Brekke, L. D., Arnold, J. R., Gochis, D. J., &amp; Rasmussen, R. M. (2015).</w:t>
      </w:r>
      <w:r>
        <w:t xml:space="preserve"> </w:t>
      </w:r>
      <w:r>
        <w:t xml:space="preserve">A unified approach for process-based hydrologic modeling: 1. Modeling concept</w:t>
      </w:r>
      <w:r>
        <w:t xml:space="preserve">.</w:t>
      </w:r>
      <w:r>
        <w:t xml:space="preserve"> </w:t>
      </w:r>
      <w:r>
        <w:rPr>
          <w:iCs/>
          <w:i/>
        </w:rPr>
        <w:t xml:space="preserve">Water Resources Research</w:t>
      </w:r>
      <w:r>
        <w:t xml:space="preserve">,</w:t>
      </w:r>
      <w:r>
        <w:t xml:space="preserve"> </w:t>
      </w:r>
      <w:r>
        <w:rPr>
          <w:iCs/>
          <w:i/>
        </w:rPr>
        <w:t xml:space="preserve">51</w:t>
      </w:r>
      <w:r>
        <w:t xml:space="preserve">(4), 2498–2514. https://doi.org/</w:t>
      </w:r>
      <w:hyperlink r:id="rId60">
        <w:r>
          <w:rPr>
            <w:rStyle w:val="20"/>
          </w:rPr>
          <w:t xml:space="preserve">https://doi.org/10.1002/2015WR017198</w:t>
        </w:r>
      </w:hyperlink>
    </w:p>
    <w:bookmarkEnd w:id="61"/>
    <w:bookmarkStart w:id="63" w:name="ref-Ellis2013"/>
    <w:p>
      <w:pPr>
        <w:pStyle w:val="69"/>
      </w:pPr>
      <w:r>
        <w:t xml:space="preserve">Ellis, C. R., Pomeroy, J. W., &amp; Link, T. E. (2013).</w:t>
      </w:r>
      <w:r>
        <w:t xml:space="preserve"> </w:t>
      </w:r>
      <w:r>
        <w:t xml:space="preserve">Modeling increases in snowmelt yield and desynchronization resulting from forest gap-thinning treatments in a northern mountain headwater basin</w:t>
      </w:r>
      <w:r>
        <w:t xml:space="preserve">.</w:t>
      </w:r>
      <w:r>
        <w:t xml:space="preserve"> </w:t>
      </w:r>
      <w:r>
        <w:rPr>
          <w:iCs/>
          <w:i/>
        </w:rPr>
        <w:t xml:space="preserve">Water Resources Research</w:t>
      </w:r>
      <w:r>
        <w:t xml:space="preserve">,</w:t>
      </w:r>
      <w:r>
        <w:t xml:space="preserve"> </w:t>
      </w:r>
      <w:r>
        <w:rPr>
          <w:iCs/>
          <w:i/>
        </w:rPr>
        <w:t xml:space="preserve">49</w:t>
      </w:r>
      <w:r>
        <w:t xml:space="preserve">(2), 936–949.</w:t>
      </w:r>
      <w:r>
        <w:t xml:space="preserve"> </w:t>
      </w:r>
      <w:hyperlink r:id="rId62">
        <w:r>
          <w:rPr>
            <w:rStyle w:val="20"/>
          </w:rPr>
          <w:t xml:space="preserve">https://doi.org/10.1002/wrcr.20089</w:t>
        </w:r>
      </w:hyperlink>
    </w:p>
    <w:bookmarkEnd w:id="63"/>
    <w:bookmarkStart w:id="65" w:name="ref-Gelfan2004"/>
    <w:p>
      <w:pPr>
        <w:pStyle w:val="69"/>
      </w:pPr>
      <w:r>
        <w:t xml:space="preserve">Gelfan, A. N., Pomeroy, J. W., &amp; Kuchment, L. S. (2004).</w:t>
      </w:r>
      <w:r>
        <w:t xml:space="preserve"> </w:t>
      </w:r>
      <w:r>
        <w:t xml:space="preserve">Modeling forest cover influences on snow accumulation, sublimation, and melt</w:t>
      </w:r>
      <w:r>
        <w:t xml:space="preserve">.</w:t>
      </w:r>
      <w:r>
        <w:t xml:space="preserve"> </w:t>
      </w:r>
      <w:r>
        <w:rPr>
          <w:iCs/>
          <w:i/>
        </w:rPr>
        <w:t xml:space="preserve">Journal of Hydrometeorology</w:t>
      </w:r>
      <w:r>
        <w:t xml:space="preserve">,</w:t>
      </w:r>
      <w:r>
        <w:t xml:space="preserve"> </w:t>
      </w:r>
      <w:r>
        <w:rPr>
          <w:iCs/>
          <w:i/>
        </w:rPr>
        <w:t xml:space="preserve">5</w:t>
      </w:r>
      <w:r>
        <w:t xml:space="preserve">(5), 785–803.</w:t>
      </w:r>
      <w:r>
        <w:t xml:space="preserve"> </w:t>
      </w:r>
      <w:hyperlink r:id="rId64">
        <w:r>
          <w:rPr>
            <w:rStyle w:val="20"/>
          </w:rPr>
          <w:t xml:space="preserve">https://doi.org/10.1175/1525-7541(2004)005&lt;0785:MFCIOS&gt;2.0.CO;2</w:t>
        </w:r>
      </w:hyperlink>
    </w:p>
    <w:bookmarkEnd w:id="65"/>
    <w:bookmarkStart w:id="67" w:name="ref-Hedstrom1998a"/>
    <w:p>
      <w:pPr>
        <w:pStyle w:val="69"/>
      </w:pPr>
      <w:r>
        <w:t xml:space="preserve">Hedstrom, N. R., &amp; Pomeroy, J. W. (1998).</w:t>
      </w:r>
      <w:r>
        <w:t xml:space="preserve"> </w:t>
      </w:r>
      <w:r>
        <w:t xml:space="preserve">Measurements and modelling of snow interception in the boreal forest</w:t>
      </w:r>
      <w:r>
        <w:t xml:space="preserve">.</w:t>
      </w:r>
      <w:r>
        <w:t xml:space="preserve"> </w:t>
      </w:r>
      <w:r>
        <w:rPr>
          <w:iCs/>
          <w:i/>
        </w:rPr>
        <w:t xml:space="preserve">Hydrological Processes</w:t>
      </w:r>
      <w:r>
        <w:t xml:space="preserve">,</w:t>
      </w:r>
      <w:r>
        <w:t xml:space="preserve"> </w:t>
      </w:r>
      <w:r>
        <w:rPr>
          <w:iCs/>
          <w:i/>
        </w:rPr>
        <w:t xml:space="preserve">12</w:t>
      </w:r>
      <w:r>
        <w:t xml:space="preserve">(10-11), 1611–1625.</w:t>
      </w:r>
      <w:r>
        <w:t xml:space="preserve"> </w:t>
      </w:r>
      <w:hyperlink r:id="rId66">
        <w:r>
          <w:rPr>
            <w:rStyle w:val="20"/>
          </w:rPr>
          <w:t xml:space="preserve">https://doi.org/10.1002/(SICI)1099-1085(199808/09)12:10/11&lt;1611::AID-HYP684&gt;3.0.CO;2-4</w:t>
        </w:r>
      </w:hyperlink>
    </w:p>
    <w:bookmarkEnd w:id="67"/>
    <w:bookmarkStart w:id="69" w:name="ref-Lundquist2021"/>
    <w:p>
      <w:pPr>
        <w:pStyle w:val="69"/>
      </w:pPr>
      <w:r>
        <w:t xml:space="preserve">Lundquist, J. D., Dickerson-Lange, S., Gutmann, E., Jonas, T., Lumbrazo, C., &amp; Reynolds, D. (2021).</w:t>
      </w:r>
      <w:r>
        <w:t xml:space="preserve"> </w:t>
      </w:r>
      <w:r>
        <w:t xml:space="preserve">Snow interception modelling: Isolated observations have led to many land surface models lacking appropriate temperature sensitivities</w:t>
      </w:r>
      <w:r>
        <w:t xml:space="preserve">.</w:t>
      </w:r>
      <w:r>
        <w:t xml:space="preserve"> </w:t>
      </w:r>
      <w:r>
        <w:rPr>
          <w:iCs/>
          <w:i/>
        </w:rPr>
        <w:t xml:space="preserve">Hydrological Processes</w:t>
      </w:r>
      <w:r>
        <w:t xml:space="preserve">,</w:t>
      </w:r>
      <w:r>
        <w:t xml:space="preserve"> </w:t>
      </w:r>
      <w:r>
        <w:rPr>
          <w:iCs/>
          <w:i/>
        </w:rPr>
        <w:t xml:space="preserve">35</w:t>
      </w:r>
      <w:r>
        <w:t xml:space="preserve">(7), 1–20.</w:t>
      </w:r>
      <w:r>
        <w:t xml:space="preserve"> </w:t>
      </w:r>
      <w:hyperlink r:id="rId68">
        <w:r>
          <w:rPr>
            <w:rStyle w:val="20"/>
          </w:rPr>
          <w:t xml:space="preserve">https://doi.org/10.1002/hyp.14274</w:t>
        </w:r>
      </w:hyperlink>
    </w:p>
    <w:bookmarkEnd w:id="69"/>
    <w:bookmarkStart w:id="70" w:name="ref-Moeser2015"/>
    <w:p>
      <w:pPr>
        <w:pStyle w:val="69"/>
      </w:pPr>
      <w:r>
        <w:t xml:space="preserve">Moeser, D., Stähli, M., &amp; Jonas, T. (2015).</w:t>
      </w:r>
      <w:r>
        <w:t xml:space="preserve"> </w:t>
      </w:r>
      <w:r>
        <w:t xml:space="preserve">Improved snow interception modeling using canopy parameters derived from airborne LiDAR data</w:t>
      </w:r>
      <w:r>
        <w:t xml:space="preserve">.</w:t>
      </w:r>
      <w:r>
        <w:t xml:space="preserve"> </w:t>
      </w:r>
      <w:r>
        <w:rPr>
          <w:iCs/>
          <w:i/>
        </w:rPr>
        <w:t xml:space="preserve">Water Resources Research</w:t>
      </w:r>
      <w:r>
        <w:t xml:space="preserve">,</w:t>
      </w:r>
      <w:r>
        <w:t xml:space="preserve"> </w:t>
      </w:r>
      <w:r>
        <w:rPr>
          <w:iCs/>
          <w:i/>
        </w:rPr>
        <w:t xml:space="preserve">51</w:t>
      </w:r>
      <w:r>
        <w:t xml:space="preserve">(7), 5041–5059.</w:t>
      </w:r>
    </w:p>
    <w:bookmarkEnd w:id="70"/>
    <w:bookmarkStart w:id="72" w:name="ref-Roth2019a"/>
    <w:p>
      <w:pPr>
        <w:pStyle w:val="69"/>
      </w:pPr>
      <w:r>
        <w:t xml:space="preserve">Roth, T. R., &amp; Nolin, A. W. (2019).</w:t>
      </w:r>
      <w:r>
        <w:t xml:space="preserve"> </w:t>
      </w:r>
      <w:r>
        <w:t xml:space="preserve">Characterizing Maritime Snow Canopy Interception in Forested Mountains</w:t>
      </w:r>
      <w:r>
        <w:t xml:space="preserve">.</w:t>
      </w:r>
      <w:r>
        <w:t xml:space="preserve"> </w:t>
      </w:r>
      <w:r>
        <w:rPr>
          <w:iCs/>
          <w:i/>
        </w:rPr>
        <w:t xml:space="preserve">Water Resources Research</w:t>
      </w:r>
      <w:r>
        <w:t xml:space="preserve">,</w:t>
      </w:r>
      <w:r>
        <w:t xml:space="preserve"> </w:t>
      </w:r>
      <w:r>
        <w:rPr>
          <w:iCs/>
          <w:i/>
        </w:rPr>
        <w:t xml:space="preserve">55</w:t>
      </w:r>
      <w:r>
        <w:t xml:space="preserve">(6), 4564–4581.</w:t>
      </w:r>
      <w:r>
        <w:t xml:space="preserve"> </w:t>
      </w:r>
      <w:hyperlink r:id="rId71">
        <w:r>
          <w:rPr>
            <w:rStyle w:val="20"/>
          </w:rPr>
          <w:t xml:space="preserve">https://doi.org/10.1029/2018WR024089</w:t>
        </w:r>
      </w:hyperlink>
    </w:p>
    <w:bookmarkEnd w:id="72"/>
    <w:bookmarkStart w:id="73" w:name="ref-Satterlund1967"/>
    <w:p>
      <w:pPr>
        <w:pStyle w:val="69"/>
      </w:pPr>
      <w:r>
        <w:t xml:space="preserve">Satterlund, D. R., &amp; Haupt, H. F. (1967).</w:t>
      </w:r>
      <w:r>
        <w:t xml:space="preserve"> </w:t>
      </w:r>
      <w:r>
        <w:t xml:space="preserve">Snow catch by Conifer Crowns</w:t>
      </w:r>
      <w:r>
        <w:t xml:space="preserve">.</w:t>
      </w:r>
      <w:r>
        <w:t xml:space="preserve"> </w:t>
      </w:r>
      <w:r>
        <w:rPr>
          <w:iCs/>
          <w:i/>
        </w:rPr>
        <w:t xml:space="preserve">Water Resources Research</w:t>
      </w:r>
      <w:r>
        <w:t xml:space="preserve">,</w:t>
      </w:r>
      <w:r>
        <w:t xml:space="preserve"> </w:t>
      </w:r>
      <w:r>
        <w:rPr>
          <w:iCs/>
          <w:i/>
        </w:rPr>
        <w:t xml:space="preserve">3</w:t>
      </w:r>
      <w:r>
        <w:t xml:space="preserve">(4), 1035–1039.</w:t>
      </w:r>
    </w:p>
    <w:bookmarkEnd w:id="73"/>
    <w:bookmarkStart w:id="75" w:name="ref-Xiao2019"/>
    <w:p>
      <w:pPr>
        <w:pStyle w:val="69"/>
      </w:pPr>
      <w:r>
        <w:t xml:space="preserve">Xiao, Y., Li, X., Zhao, S., &amp; Song, G. (2019).</w:t>
      </w:r>
      <w:r>
        <w:t xml:space="preserve"> </w:t>
      </w:r>
      <w:r>
        <w:t xml:space="preserve">Characteristics and simulation of snow interception by the canopy of primary spruce-fir Korean pine forests in the Xiaoxing’an Mountains of China</w:t>
      </w:r>
      <w:r>
        <w:t xml:space="preserve">.</w:t>
      </w:r>
      <w:r>
        <w:t xml:space="preserve"> </w:t>
      </w:r>
      <w:r>
        <w:rPr>
          <w:iCs/>
          <w:i/>
        </w:rPr>
        <w:t xml:space="preserve">Ecology and Evolution</w:t>
      </w:r>
      <w:r>
        <w:t xml:space="preserve">,</w:t>
      </w:r>
      <w:r>
        <w:t xml:space="preserve"> </w:t>
      </w:r>
      <w:r>
        <w:rPr>
          <w:iCs/>
          <w:i/>
        </w:rPr>
        <w:t xml:space="preserve">9</w:t>
      </w:r>
      <w:r>
        <w:t xml:space="preserve">(10), 5694–5707.</w:t>
      </w:r>
      <w:r>
        <w:t xml:space="preserve"> </w:t>
      </w:r>
      <w:hyperlink r:id="rId74">
        <w:r>
          <w:rPr>
            <w:rStyle w:val="20"/>
          </w:rPr>
          <w:t xml:space="preserve">https://doi.org/10.1002/ece3.5152</w:t>
        </w:r>
      </w:hyperlink>
    </w:p>
    <w:bookmarkEnd w:id="75"/>
    <w:bookmarkEnd w:id="76"/>
    <w:bookmarkEnd w:id="77"/>
    <w:sectPr>
      <w:headerReference r:id="rId9" w:type="default"/>
      <w:footerReference r:id="rId10" w:type="default"/>
      <w:pgSz w:h="15840" w:w="12240"/>
      <w:pgMar w:bottom="1440" w:footer="0" w:gutter="0" w:header="0" w:left="1440" w:right="1440" w:top="1440"/>
      <w:pgNumType w:fmt="decimal"/>
      <w:cols w:num="1" w:space="720"/>
      <w:formProt w:val="0"/>
      <w:docGrid w:charSpace="0" w:linePitch="1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Cambria">
    <w:altName w:val="Gubbi"/>
    <w:panose1 w:val="00000000000000000000"/>
    <w:charset w:val="01"/>
    <w:family w:val="roman"/>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Cambria">
    <w:altName w:val="Droid Sans Fallback"/>
    <w:panose1 w:val="00000000000000000000"/>
    <w:charset w:val="86"/>
    <w:family w:val="auto"/>
    <w:pitch w:val="default"/>
    <w:sig w:usb0="00000000" w:usb1="00000000" w:usb2="00000000" w:usb3="00000000" w:csb0="00000000" w:csb1="00000000"/>
  </w:font>
  <w:font w:name="Cambria">
    <w:altName w:val="Gubbi"/>
    <w:panose1 w:val="00000000000000000000"/>
    <w:charset w:val="00"/>
    <w:family w:val="auto"/>
    <w:pitch w:val="default"/>
    <w:sig w:usb0="00000000" w:usb1="00000000" w:usb2="00000000" w:usb3="00000000" w:csb0="00000000" w:csb1="00000000"/>
  </w:font>
  <w:font w:name="Calibri">
    <w:altName w:val="Trebuchet MS"/>
    <w:panose1 w:val="00000000000000000000"/>
    <w:charset w:val="01"/>
    <w:family w:val="roman"/>
    <w:pitch w:val="default"/>
    <w:sig w:usb0="00000000" w:usb1="00000000" w:usb2="00000000" w:usb3="00000000" w:csb0="00000000" w:csb1="00000000"/>
  </w:font>
  <w:font w:name="Consolas">
    <w:altName w:val="Gubbi"/>
    <w:panose1 w:val="00000000000000000000"/>
    <w:charset w:val="01"/>
    <w:family w:val="roman"/>
    <w:pitch w:val="default"/>
    <w:sig w:usb0="00000000" w:usb1="00000000" w:usb2="00000000" w:usb3="00000000" w:csb0="00000000" w:csb1="00000000"/>
  </w:font>
  <w:font w:name="Noto Sans CJK SC">
    <w:panose1 w:val="020B0500000000000000"/>
    <w:charset w:val="86"/>
    <w:family w:val="auto"/>
    <w:pitch w:val="default"/>
    <w:sig w:usb0="30000083" w:usb1="2BDF3C10" w:usb2="00000016" w:usb3="00000000" w:csb0="602E0107" w:csb1="00000000"/>
  </w:font>
  <w:font w:name="Lohit Devanagari">
    <w:panose1 w:val="020B0600000000000000"/>
    <w:charset w:val="00"/>
    <w:family w:val="auto"/>
    <w:pitch w:val="default"/>
    <w:sig w:usb0="80008023" w:usb1="00002042" w:usb2="00000000" w:usb3="00000000" w:csb0="00000001" w:csb1="00000000"/>
  </w:font>
  <w:font w:name="Symbol">
    <w:panose1 w:val="05050102010706020507"/>
    <w:charset w:val="02"/>
    <w:family w:val="roman"/>
    <w:pitch w:val="default"/>
    <w:sig w:usb0="00000000" w:usb1="00000000" w:usb2="00000000" w:usb3="00000000" w:csb0="80000000" w:csb1="00000000"/>
  </w:font>
  <w:font w:name="Cambria Math">
    <w:altName w:val="DejaVu Math TeX Gyre"/>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Abyssinica SIL">
    <w:panose1 w:val="02000000000000000000"/>
    <w:charset w:val="00"/>
    <w:family w:val="auto"/>
    <w:pitch w:val="default"/>
    <w:sig w:usb0="800000EF" w:usb1="5200A14B" w:usb2="08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bookmarkStart w:id="10" w:name="_GoBack"/>
    <w:bookmarkEnd w:id="10"/>
    <w:r>
      <w:rPr>
        <w:sz w:val="18"/>
      </w:rPr>
      <w:pict>
        <v:shape id="_x0000_s2049" o:spid="_x0000_s2049" o:spt="202" type="#_x0000_t202" style="position:absolute;left:0pt;margin-top:0pt;height:144pt;width:144pt;mso-position-horizontal:right;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hdr>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xmlns:wpsCustomData="http://www.wps.cn/officeDocument/2013/wpsCustomData" mc:Ignorable="w14 wp14">
  <w:abstractNum w:abstractNumId="0">
    <w:nsid w:val="ECFB7048"/>
    <w:multiLevelType w:val="multilevel"/>
    <w:tmpl w:val="ECFB7048"/>
    <w:lvl w:ilvl="0" w:tentative="0">
      <w:start w:val="0"/>
      <w:numFmt w:val="bullet"/>
      <w:lvlText w:val=""/>
      <w:lvlJc w:val="left"/>
      <w:pPr>
        <w:tabs>
          <w:tab w:pos="0" w:val="left"/>
        </w:tabs>
        <w:ind w:hanging="480" w:left="720"/>
      </w:pPr>
      <w:rPr>
        <w:rFonts w:ascii="Symbol" w:cs="Symbol" w:hAnsi="Symbol" w:hint="default"/>
      </w:rPr>
    </w:lvl>
    <w:lvl w:ilvl="1" w:tentative="0">
      <w:start w:val="0"/>
      <w:numFmt w:val="bullet"/>
      <w:lvlText w:val=""/>
      <w:lvlJc w:val="left"/>
      <w:pPr>
        <w:tabs>
          <w:tab w:pos="0" w:val="left"/>
        </w:tabs>
        <w:ind w:hanging="480" w:left="1440"/>
      </w:pPr>
      <w:rPr>
        <w:rFonts w:ascii="Symbol" w:cs="Symbol" w:hAnsi="Symbol" w:hint="default"/>
      </w:rPr>
    </w:lvl>
    <w:lvl w:ilvl="2" w:tentative="0">
      <w:start w:val="0"/>
      <w:numFmt w:val="bullet"/>
      <w:lvlText w:val=""/>
      <w:lvlJc w:val="left"/>
      <w:pPr>
        <w:tabs>
          <w:tab w:pos="0" w:val="left"/>
        </w:tabs>
        <w:ind w:hanging="480" w:left="2160"/>
      </w:pPr>
      <w:rPr>
        <w:rFonts w:ascii="Symbol" w:cs="Symbol" w:hAnsi="Symbol" w:hint="default"/>
      </w:rPr>
    </w:lvl>
    <w:lvl w:ilvl="3" w:tentative="0">
      <w:start w:val="0"/>
      <w:numFmt w:val="bullet"/>
      <w:lvlText w:val=""/>
      <w:lvlJc w:val="left"/>
      <w:pPr>
        <w:tabs>
          <w:tab w:pos="0" w:val="left"/>
        </w:tabs>
        <w:ind w:hanging="480" w:left="2880"/>
      </w:pPr>
      <w:rPr>
        <w:rFonts w:ascii="Symbol" w:cs="Symbol" w:hAnsi="Symbol" w:hint="default"/>
      </w:rPr>
    </w:lvl>
    <w:lvl w:ilvl="4" w:tentative="0">
      <w:start w:val="0"/>
      <w:numFmt w:val="bullet"/>
      <w:lvlText w:val=""/>
      <w:lvlJc w:val="left"/>
      <w:pPr>
        <w:tabs>
          <w:tab w:pos="0" w:val="left"/>
        </w:tabs>
        <w:ind w:hanging="480" w:left="3600"/>
      </w:pPr>
      <w:rPr>
        <w:rFonts w:ascii="Symbol" w:cs="Symbol" w:hAnsi="Symbol" w:hint="default"/>
      </w:rPr>
    </w:lvl>
    <w:lvl w:ilvl="5" w:tentative="0">
      <w:start w:val="0"/>
      <w:numFmt w:val="bullet"/>
      <w:lvlText w:val=""/>
      <w:lvlJc w:val="left"/>
      <w:pPr>
        <w:tabs>
          <w:tab w:pos="0" w:val="left"/>
        </w:tabs>
        <w:ind w:hanging="480" w:left="4320"/>
      </w:pPr>
      <w:rPr>
        <w:rFonts w:ascii="Symbol" w:cs="Symbol" w:hAnsi="Symbol" w:hint="default"/>
      </w:rPr>
    </w:lvl>
    <w:lvl w:ilvl="6" w:tentative="0">
      <w:start w:val="0"/>
      <w:numFmt w:val="bullet"/>
      <w:lvlText w:val=""/>
      <w:lvlJc w:val="left"/>
      <w:pPr>
        <w:tabs>
          <w:tab w:pos="0" w:val="left"/>
        </w:tabs>
        <w:ind w:hanging="480" w:left="5040"/>
      </w:pPr>
      <w:rPr>
        <w:rFonts w:ascii="Symbol" w:cs="Symbol" w:hAnsi="Symbol" w:hint="default"/>
      </w:rPr>
    </w:lvl>
    <w:lvl w:ilvl="7" w:tentative="0">
      <w:start w:val="0"/>
      <w:numFmt w:val="bullet"/>
      <w:lvlText w:val=""/>
      <w:lvlJc w:val="left"/>
      <w:pPr>
        <w:tabs>
          <w:tab w:pos="0" w:val="left"/>
        </w:tabs>
        <w:ind w:hanging="480" w:left="5760"/>
      </w:pPr>
      <w:rPr>
        <w:rFonts w:ascii="Symbol" w:cs="Symbol" w:hAnsi="Symbol" w:hint="default"/>
      </w:rPr>
    </w:lvl>
    <w:lvl w:ilvl="8" w:tentative="0">
      <w:start w:val="0"/>
      <w:numFmt w:val="bullet"/>
      <w:lvlText w:val=""/>
      <w:lvlJc w:val="left"/>
      <w:pPr>
        <w:tabs>
          <w:tab w:pos="0" w:val="left"/>
        </w:tabs>
        <w:ind w:hanging="480" w:left="6480"/>
      </w:pPr>
      <w:rPr>
        <w:rFonts w:ascii="Symbol" w:cs="Symbol" w:hAnsi="Symbol" w:hint="default"/>
      </w:rPr>
    </w:lvl>
  </w:abstractNum>
  <w:abstractNum w:abstractNumId="1">
    <w:nsid w:val="FFBFC4E9"/>
    <w:multiLevelType w:val="multilevel"/>
    <w:tmpl w:val="FFBFC4E9"/>
    <w:lvl w:ilvl="0" w:tentative="0">
      <w:start w:val="1"/>
      <w:numFmt w:val="decimal"/>
      <w:pStyle w:val="2"/>
      <w:lvlText w:val=""/>
      <w:lvlJc w:val="left"/>
      <w:pPr>
        <w:tabs>
          <w:tab w:pos="0" w:val="left"/>
        </w:tabs>
        <w:ind w:firstLine="0" w:left="0"/>
      </w:pPr>
    </w:lvl>
    <w:lvl w:ilvl="1" w:tentative="0">
      <w:start w:val="1"/>
      <w:numFmt w:val="decimal"/>
      <w:pStyle w:val="4"/>
      <w:lvlText w:val=""/>
      <w:lvlJc w:val="left"/>
      <w:pPr>
        <w:tabs>
          <w:tab w:pos="0" w:val="left"/>
        </w:tabs>
        <w:ind w:firstLine="0" w:left="0"/>
      </w:pPr>
    </w:lvl>
    <w:lvl w:ilvl="2" w:tentative="0">
      <w:start w:val="1"/>
      <w:numFmt w:val="decimal"/>
      <w:pStyle w:val="5"/>
      <w:lvlText w:val=""/>
      <w:lvlJc w:val="left"/>
      <w:pPr>
        <w:tabs>
          <w:tab w:pos="0" w:val="left"/>
        </w:tabs>
        <w:ind w:firstLine="0" w:left="0"/>
      </w:pPr>
    </w:lvl>
    <w:lvl w:ilvl="3" w:tentative="0">
      <w:start w:val="1"/>
      <w:numFmt w:val="none"/>
      <w:suff w:val="nothing"/>
      <w:lvlText w:val=""/>
      <w:lvlJc w:val="left"/>
      <w:pPr>
        <w:tabs>
          <w:tab w:pos="0" w:val="left"/>
        </w:tabs>
        <w:ind w:firstLine="0" w:left="0"/>
      </w:pPr>
    </w:lvl>
    <w:lvl w:ilvl="4" w:tentative="0">
      <w:start w:val="1"/>
      <w:numFmt w:val="none"/>
      <w:suff w:val="nothing"/>
      <w:lvlText w:val=""/>
      <w:lvlJc w:val="left"/>
      <w:pPr>
        <w:tabs>
          <w:tab w:pos="0" w:val="left"/>
        </w:tabs>
        <w:ind w:firstLine="0" w:left="0"/>
      </w:pPr>
    </w:lvl>
    <w:lvl w:ilvl="5" w:tentative="0">
      <w:start w:val="1"/>
      <w:numFmt w:val="none"/>
      <w:suff w:val="nothing"/>
      <w:lvlText w:val=""/>
      <w:lvlJc w:val="left"/>
      <w:pPr>
        <w:tabs>
          <w:tab w:pos="0" w:val="left"/>
        </w:tabs>
        <w:ind w:firstLine="0" w:left="0"/>
      </w:pPr>
    </w:lvl>
    <w:lvl w:ilvl="6" w:tentative="0">
      <w:start w:val="1"/>
      <w:numFmt w:val="none"/>
      <w:suff w:val="nothing"/>
      <w:lvlText w:val=""/>
      <w:lvlJc w:val="left"/>
      <w:pPr>
        <w:tabs>
          <w:tab w:pos="0" w:val="left"/>
        </w:tabs>
        <w:ind w:firstLine="0" w:left="0"/>
      </w:pPr>
    </w:lvl>
    <w:lvl w:ilvl="7" w:tentative="0">
      <w:start w:val="1"/>
      <w:numFmt w:val="none"/>
      <w:suff w:val="nothing"/>
      <w:lvlText w:val=""/>
      <w:lvlJc w:val="left"/>
      <w:pPr>
        <w:tabs>
          <w:tab w:pos="0" w:val="left"/>
        </w:tabs>
        <w:ind w:firstLine="0" w:left="0"/>
      </w:pPr>
    </w:lvl>
    <w:lvl w:ilvl="8" w:tentative="0">
      <w:start w:val="1"/>
      <w:numFmt w:val="none"/>
      <w:suff w:val="nothing"/>
      <w:lvlText w:val=""/>
      <w:lvlJc w:val="left"/>
      <w:pPr>
        <w:tabs>
          <w:tab w:pos="0" w:val="left"/>
        </w:tabs>
        <w:ind w:firstLine="0" w:left="0"/>
      </w:pPr>
    </w:lvl>
  </w:abstractNum>
  <w:abstractNum w:abstractNumId="2">
    <w:nsid w:val="2E166346"/>
    <w:multiLevelType w:val="multilevel"/>
    <w:tmpl w:val="2E166346"/>
    <w:lvl w:ilvl="0" w:tentative="0">
      <w:start w:val="1"/>
      <w:numFmt w:val="decimal"/>
      <w:lvlText w:val="%1."/>
      <w:lvlJc w:val="left"/>
      <w:pPr>
        <w:tabs>
          <w:tab w:pos="0" w:val="left"/>
        </w:tabs>
        <w:ind w:hanging="480" w:left="720"/>
      </w:pPr>
    </w:lvl>
    <w:lvl w:ilvl="1" w:tentative="0">
      <w:start w:val="1"/>
      <w:numFmt w:val="decimal"/>
      <w:lvlText w:val="%2."/>
      <w:lvlJc w:val="left"/>
      <w:pPr>
        <w:tabs>
          <w:tab w:pos="0" w:val="left"/>
        </w:tabs>
        <w:ind w:hanging="480" w:left="1440"/>
      </w:pPr>
    </w:lvl>
    <w:lvl w:ilvl="2" w:tentative="0">
      <w:start w:val="1"/>
      <w:numFmt w:val="decimal"/>
      <w:lvlText w:val="%3."/>
      <w:lvlJc w:val="left"/>
      <w:pPr>
        <w:tabs>
          <w:tab w:pos="0" w:val="left"/>
        </w:tabs>
        <w:ind w:hanging="480" w:left="2160"/>
      </w:pPr>
    </w:lvl>
    <w:lvl w:ilvl="3" w:tentative="0">
      <w:start w:val="1"/>
      <w:numFmt w:val="decimal"/>
      <w:lvlText w:val="%4."/>
      <w:lvlJc w:val="left"/>
      <w:pPr>
        <w:tabs>
          <w:tab w:pos="0" w:val="left"/>
        </w:tabs>
        <w:ind w:hanging="480" w:left="2880"/>
      </w:pPr>
    </w:lvl>
    <w:lvl w:ilvl="4" w:tentative="0">
      <w:start w:val="1"/>
      <w:numFmt w:val="decimal"/>
      <w:lvlText w:val="%5."/>
      <w:lvlJc w:val="left"/>
      <w:pPr>
        <w:tabs>
          <w:tab w:pos="0" w:val="left"/>
        </w:tabs>
        <w:ind w:hanging="480" w:left="3600"/>
      </w:pPr>
    </w:lvl>
    <w:lvl w:ilvl="5" w:tentative="0">
      <w:start w:val="1"/>
      <w:numFmt w:val="decimal"/>
      <w:lvlText w:val="%6."/>
      <w:lvlJc w:val="left"/>
      <w:pPr>
        <w:tabs>
          <w:tab w:pos="0" w:val="left"/>
        </w:tabs>
        <w:ind w:hanging="480" w:left="4320"/>
      </w:pPr>
    </w:lvl>
    <w:lvl w:ilvl="6" w:tentative="0">
      <w:start w:val="1"/>
      <w:numFmt w:val="decimal"/>
      <w:lvlText w:val="%7."/>
      <w:lvlJc w:val="left"/>
      <w:pPr>
        <w:tabs>
          <w:tab w:pos="0" w:val="left"/>
        </w:tabs>
        <w:ind w:hanging="480" w:left="5040"/>
      </w:pPr>
    </w:lvl>
    <w:lvl w:ilvl="7" w:tentative="0">
      <w:start w:val="1"/>
      <w:numFmt w:val="decimal"/>
      <w:lvlText w:val="%8."/>
      <w:lvlJc w:val="left"/>
      <w:pPr>
        <w:tabs>
          <w:tab w:pos="0" w:val="left"/>
        </w:tabs>
        <w:ind w:hanging="480" w:left="5760"/>
      </w:pPr>
    </w:lvl>
    <w:lvl w:ilvl="8" w:tentative="0">
      <w:start w:val="1"/>
      <w:numFmt w:val="decimal"/>
      <w:lvlText w:val="%9."/>
      <w:lvlJc w:val="left"/>
      <w:pPr>
        <w:tabs>
          <w:tab w:pos="0" w:val="left"/>
        </w:tabs>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2"/>
    <w:lvlOverride w:ilvl="0">
      <w:startOverride w:val="1"/>
    </w:lvlOverride>
  </w:num>
  <w:num w:numId="4">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w:clrSchemeMapping w:accent1="accent1" w:accent2="accent2" w:accent3="accent3" w:accent4="accent4" w:accent5="accent5" w:accent6="accent6" w:bg1="light1" w:bg2="light2" w:followedHyperlink="followedHyperlink" w:hyperlink="hyperlink" w:t1="dark1" w:t2="dark2"/>
  <w:decimalSymbol w:val="."/>
  <w:listSeparator w:val=","/>
  <w:zoom w:percent="110"/>
  <w:embedSystemFonts/>
  <w:defaultTabStop w:val="720"/>
  <w:autoHyphenation/>
  <w:compat>
    <w:compatSetting w:name="compatibilityMode" w:uri="http://schemas.microsoft.com/office/word" w:val="12"/>
  </w:compat>
  <m:mathPr>
    <m:brkBin m:val="before"/>
    <m:brkBinSub m:val="--"/>
    <m:smallFrac m:val="0"/>
    <m:dispDef/>
    <m:lMargin m:val="0"/>
    <m:rMargin m:val="0"/>
    <m:defJc m:val="centerGroup"/>
    <m:wrapIndent m:val="1440"/>
    <m:intLim m:val="subSup"/>
    <m:naryLim m:val="undOvr"/>
  </m:mathPr>
  <w:themeFontLang w:bidi="zh-CN" w:eastAsia="zh-CN" w:val="en-US"/>
</w:settings>
</file>

<file path=word/styles.xml><?xml version="1.0" encoding="utf-8"?>
<w:styles xmlns:m="http://schemas.openxmlformats.org/officeDocument/2006/math" xmlns:mc="http://schemas.openxmlformats.org/markup-compatibility/2006"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psCustomData="http://www.wps.cn/officeDocument/2013/wpsCustomData" mc:Ignorable="w14">
  <w:docDefaults>
    <w:rPrDefault>
      <w:rPr>
        <w:rFonts w:asciiTheme="minorHAnsi" w:cstheme="minorBidi" w:eastAsiaTheme="minorHAnsi" w:hAnsiTheme="minorHAnsi"/>
      </w:rPr>
    </w:rPrDefault>
    <w:pPrDefault/>
  </w:docDefaults>
  <w:latentStyles w:count="260"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semiHidden="0" w:uiPriority="9"/>
    <w:lsdException w:name="heading 3" w:qFormat="1" w:semiHidden="0" w:uiPriority="9"/>
    <w:lsdException w:name="heading 4" w:qFormat="1" w:semiHidden="0" w:uiPriority="9"/>
    <w:lsdException w:name="heading 5" w:qFormat="1" w:semiHidden="0" w:uiPriority="9"/>
    <w:lsdException w:name="heading 6" w:qFormat="1" w:semiHidden="0" w:uiPriority="9"/>
    <w:lsdException w:name="heading 7" w:qFormat="1" w:semiHidden="0" w:uiPriority="9"/>
    <w:lsdException w:name="heading 8" w:qFormat="1" w:semiHidden="0" w:uiPriority="9"/>
    <w:lsdException w:name="heading 9" w:qFormat="1" w:semiHidden="0" w:uiPriority="9"/>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qFormat="1" w:semiHidden="0" w:uiPriority="9"/>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qFormat="1" w:semiHidden="0" w:uiPriority="0" w:unhideWhenUsed="0"/>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qFormat="1" w:semiHidden="0" w:uiPriority="0" w:unhideWhenUsed="0"/>
    <w:lsdException w:name="Closing" w:semiHidden="0" w:uiPriority="0" w:unhideWhenUsed="0"/>
    <w:lsdException w:name="Signature" w:semiHidden="0" w:uiPriority="0" w:unhideWhenUsed="0"/>
    <w:lsdException w:name="Default Paragraph Font" w:qFormat="1" w:uiPriority="0"/>
    <w:lsdException w:name="Body Text" w:qFormat="1"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qFormat="1" w:semiHidden="0" w:uiPriority="0" w:unhideWhenUsed="0"/>
    <w:lsdException w:name="Salutation" w:semiHidden="0" w:uiPriority="0" w:unhideWhenUsed="0"/>
    <w:lsdException w:name="Date" w:qFormat="1"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qFormat="1" w:semiHidden="0" w:uiPriority="9"/>
    <w:lsdException w:name="Hyperlink" w:qFormat="1" w:semiHidden="0" w:uiPriority="0" w:unhideWhenUsed="0"/>
    <w:lsdException w:name="FollowedHyperlink" w:semiHidden="0" w:uiPriority="0" w:unhideWhenUsed="0"/>
    <w:lsdException w:name="Strong" w:semiHidden="0" w:uiPriority="0" w:unhideWhenUsed="0"/>
    <w:lsdException w:name="Emphasis" w:semiHidden="0" w:uiPriority="0" w:unhideWhenUsed="0"/>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semiHidden="0" w:uiPriority="0" w:unhideWhenUsed="0"/>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default="1" w:styleId="1" w:type="paragraph">
    <w:name w:val="Normal"/>
    <w:qFormat/>
    <w:uiPriority w:val="0"/>
    <w:pPr>
      <w:widowControl/>
      <w:suppressAutoHyphens/>
      <w:bidi w:val="0"/>
      <w:spacing w:after="200" w:before="0"/>
      <w:jc w:val="left"/>
    </w:pPr>
    <w:rPr>
      <w:rFonts w:ascii="Times New Roman" w:cstheme="minorBidi" w:eastAsiaTheme="minorHAnsi" w:hAnsi="Times New Roman"/>
      <w:color w:val="auto"/>
      <w:kern w:val="0"/>
      <w:sz w:val="24"/>
      <w:szCs w:val="24"/>
      <w:lang w:bidi="ar-SA" w:eastAsia="en-US" w:val="en-US"/>
    </w:rPr>
  </w:style>
  <w:style w:styleId="2" w:type="paragraph">
    <w:name w:val="heading 1"/>
    <w:basedOn w:val="1"/>
    <w:next w:val="3"/>
    <w:qFormat/>
    <w:uiPriority w:val="9"/>
    <w:pPr>
      <w:keepNext/>
      <w:keepLines/>
      <w:numPr>
        <w:ilvl w:val="0"/>
        <w:numId w:val="1"/>
      </w:numPr>
      <w:spacing w:after="283" w:before="482"/>
      <w:outlineLvl w:val="0"/>
    </w:pPr>
    <w:rPr>
      <w:rFonts w:ascii="Times New Roman" w:cstheme="majorBidi" w:eastAsiaTheme="majorEastAsia" w:hAnsi="Times New Roman"/>
      <w:b/>
      <w:bCs/>
      <w:color w:val="000000"/>
      <w:sz w:val="28"/>
      <w:szCs w:val="28"/>
    </w:rPr>
  </w:style>
  <w:style w:styleId="4" w:type="paragraph">
    <w:name w:val="heading 2"/>
    <w:basedOn w:val="1"/>
    <w:next w:val="3"/>
    <w:unhideWhenUsed/>
    <w:qFormat/>
    <w:uiPriority w:val="9"/>
    <w:pPr>
      <w:keepNext/>
      <w:keepLines/>
      <w:numPr>
        <w:ilvl w:val="1"/>
        <w:numId w:val="1"/>
      </w:numPr>
      <w:spacing w:after="0" w:before="200"/>
      <w:outlineLvl w:val="1"/>
    </w:pPr>
    <w:rPr>
      <w:rFonts w:ascii="Times New Roman" w:cstheme="majorBidi" w:eastAsiaTheme="majorEastAsia" w:hAnsi="Times New Roman"/>
      <w:b/>
      <w:bCs/>
      <w:color w:val="000000"/>
      <w:sz w:val="24"/>
      <w:szCs w:val="28"/>
    </w:rPr>
  </w:style>
  <w:style w:styleId="5" w:type="paragraph">
    <w:name w:val="heading 3"/>
    <w:basedOn w:val="1"/>
    <w:next w:val="3"/>
    <w:unhideWhenUsed/>
    <w:qFormat/>
    <w:uiPriority w:val="9"/>
    <w:pPr>
      <w:keepNext/>
      <w:keepLines/>
      <w:numPr>
        <w:ilvl w:val="2"/>
        <w:numId w:val="1"/>
      </w:numPr>
      <w:spacing w:after="0" w:before="200"/>
      <w:outlineLvl w:val="2"/>
    </w:pPr>
    <w:rPr>
      <w:rFonts w:ascii="Times New Roman" w:cstheme="majorBidi" w:eastAsiaTheme="majorEastAsia" w:hAnsi="Times New Roman"/>
      <w:b/>
      <w:bCs/>
      <w:color w:val="000000"/>
      <w:sz w:val="24"/>
      <w:szCs w:val="24"/>
    </w:rPr>
  </w:style>
  <w:style w:styleId="6" w:type="paragraph">
    <w:name w:val="heading 4"/>
    <w:basedOn w:val="1"/>
    <w:next w:val="3"/>
    <w:unhideWhenUsed/>
    <w:qFormat/>
    <w:uiPriority w:val="9"/>
    <w:pPr>
      <w:keepNext/>
      <w:keepLines/>
      <w:spacing w:after="0" w:before="200"/>
      <w:outlineLvl w:val="3"/>
    </w:pPr>
    <w:rPr>
      <w:rFonts w:ascii="Times New Roman" w:cstheme="majorBidi" w:eastAsiaTheme="majorEastAsia" w:hAnsi="Times New Roman"/>
      <w:bCs/>
      <w:i/>
      <w:color w:val="000000"/>
      <w:sz w:val="24"/>
      <w:szCs w:val="24"/>
    </w:rPr>
  </w:style>
  <w:style w:styleId="7" w:type="paragraph">
    <w:name w:val="heading 5"/>
    <w:basedOn w:val="1"/>
    <w:next w:val="3"/>
    <w:unhideWhenUsed/>
    <w:qFormat/>
    <w:uiPriority w:val="9"/>
    <w:pPr>
      <w:keepNext/>
      <w:keepLines/>
      <w:spacing w:after="0" w:before="200"/>
      <w:outlineLvl w:val="4"/>
    </w:pPr>
    <w:rPr>
      <w:rFonts w:asciiTheme="majorHAnsi" w:cstheme="majorBidi" w:eastAsiaTheme="majorEastAsia" w:hAnsiTheme="majorHAnsi"/>
      <w:iCs/>
      <w:color w:themeColor="accent1" w:val="4F81BD"/>
      <w:sz w:val="24"/>
      <w:szCs w:val="24"/>
    </w:rPr>
  </w:style>
  <w:style w:styleId="8" w:type="paragraph">
    <w:name w:val="heading 6"/>
    <w:basedOn w:val="1"/>
    <w:next w:val="3"/>
    <w:unhideWhenUsed/>
    <w:qFormat/>
    <w:uiPriority w:val="9"/>
    <w:pPr>
      <w:keepNext/>
      <w:keepLines/>
      <w:spacing w:after="0" w:before="200"/>
      <w:outlineLvl w:val="5"/>
    </w:pPr>
    <w:rPr>
      <w:rFonts w:asciiTheme="majorHAnsi" w:cstheme="majorBidi" w:eastAsiaTheme="majorEastAsia" w:hAnsiTheme="majorHAnsi"/>
      <w:color w:themeColor="accent1" w:val="4F81BD"/>
      <w:sz w:val="24"/>
      <w:szCs w:val="24"/>
    </w:rPr>
  </w:style>
  <w:style w:styleId="9" w:type="paragraph">
    <w:name w:val="heading 7"/>
    <w:basedOn w:val="1"/>
    <w:next w:val="3"/>
    <w:unhideWhenUsed/>
    <w:qFormat/>
    <w:uiPriority w:val="9"/>
    <w:pPr>
      <w:keepNext/>
      <w:keepLines/>
      <w:spacing w:after="0" w:before="200"/>
      <w:outlineLvl w:val="6"/>
    </w:pPr>
    <w:rPr>
      <w:rFonts w:asciiTheme="majorHAnsi" w:cstheme="majorBidi" w:eastAsiaTheme="majorEastAsia" w:hAnsiTheme="majorHAnsi"/>
      <w:color w:themeColor="accent1" w:val="4F81BD"/>
      <w:sz w:val="24"/>
      <w:szCs w:val="24"/>
    </w:rPr>
  </w:style>
  <w:style w:styleId="10" w:type="paragraph">
    <w:name w:val="heading 8"/>
    <w:basedOn w:val="1"/>
    <w:next w:val="3"/>
    <w:unhideWhenUsed/>
    <w:qFormat/>
    <w:uiPriority w:val="9"/>
    <w:pPr>
      <w:keepNext/>
      <w:keepLines/>
      <w:spacing w:after="0" w:before="200"/>
      <w:outlineLvl w:val="7"/>
    </w:pPr>
    <w:rPr>
      <w:rFonts w:asciiTheme="majorHAnsi" w:cstheme="majorBidi" w:eastAsiaTheme="majorEastAsia" w:hAnsiTheme="majorHAnsi"/>
      <w:color w:themeColor="accent1" w:val="4F81BD"/>
      <w:sz w:val="24"/>
      <w:szCs w:val="24"/>
    </w:rPr>
  </w:style>
  <w:style w:styleId="11" w:type="paragraph">
    <w:name w:val="heading 9"/>
    <w:basedOn w:val="1"/>
    <w:next w:val="3"/>
    <w:unhideWhenUsed/>
    <w:qFormat/>
    <w:uiPriority w:val="9"/>
    <w:pPr>
      <w:keepNext/>
      <w:keepLines/>
      <w:spacing w:after="0" w:before="200"/>
      <w:outlineLvl w:val="8"/>
    </w:pPr>
    <w:rPr>
      <w:rFonts w:asciiTheme="majorHAnsi" w:cstheme="majorBidi" w:eastAsiaTheme="majorEastAsia" w:hAnsiTheme="majorHAnsi"/>
      <w:color w:themeColor="accent1" w:val="4F81BD"/>
      <w:sz w:val="24"/>
      <w:szCs w:val="24"/>
    </w:rPr>
  </w:style>
  <w:style w:default="1" w:styleId="12" w:type="character">
    <w:name w:val="Default Paragraph Font"/>
    <w:semiHidden/>
    <w:unhideWhenUsed/>
    <w:qFormat/>
    <w:uiPriority w:val="0"/>
  </w:style>
  <w:style w:default="1" w:styleId="13" w:type="table">
    <w:name w:val="Normal Table"/>
    <w:uiPriority w:val="0"/>
    <w:tblPr>
      <w:tblCellMar>
        <w:top w:type="dxa" w:w="0"/>
        <w:left w:type="dxa" w:w="108"/>
        <w:bottom w:type="dxa" w:w="0"/>
        <w:right w:type="dxa" w:w="108"/>
      </w:tblCellMar>
    </w:tblPr>
  </w:style>
  <w:style w:styleId="3" w:type="paragraph">
    <w:name w:val="Body Text"/>
    <w:basedOn w:val="1"/>
    <w:link w:val="21"/>
    <w:qFormat/>
    <w:uiPriority w:val="0"/>
    <w:pPr>
      <w:spacing w:after="180" w:before="180"/>
    </w:pPr>
    <w:rPr>
      <w:rFonts w:ascii="Times New Roman" w:hAnsi="Times New Roman"/>
      <w:sz w:val="24"/>
    </w:rPr>
  </w:style>
  <w:style w:styleId="14" w:type="paragraph">
    <w:name w:val="Block Text"/>
    <w:basedOn w:val="3"/>
    <w:next w:val="3"/>
    <w:unhideWhenUsed/>
    <w:qFormat/>
    <w:uiPriority w:val="9"/>
    <w:pPr>
      <w:spacing w:after="100" w:before="100"/>
      <w:ind w:firstLine="0" w:left="480" w:right="480"/>
    </w:pPr>
  </w:style>
  <w:style w:styleId="15" w:type="paragraph">
    <w:name w:val="caption"/>
    <w:basedOn w:val="1"/>
    <w:next w:val="1"/>
    <w:link w:val="21"/>
    <w:qFormat/>
    <w:uiPriority w:val="0"/>
    <w:pPr>
      <w:spacing w:after="120" w:before="0"/>
    </w:pPr>
    <w:rPr>
      <w:i/>
    </w:rPr>
  </w:style>
  <w:style w:styleId="16" w:type="paragraph">
    <w:name w:val="Date"/>
    <w:next w:val="3"/>
    <w:qFormat/>
    <w:uiPriority w:val="0"/>
    <w:pPr>
      <w:keepNext/>
      <w:keepLines/>
      <w:widowControl/>
      <w:suppressAutoHyphens/>
      <w:bidi w:val="0"/>
      <w:spacing w:after="200" w:before="0"/>
      <w:jc w:val="center"/>
    </w:pPr>
    <w:rPr>
      <w:rFonts w:ascii="Times New Roman" w:cstheme="minorBidi" w:eastAsiaTheme="minorHAnsi" w:hAnsi="Times New Roman"/>
      <w:color w:val="auto"/>
      <w:kern w:val="0"/>
      <w:sz w:val="24"/>
      <w:szCs w:val="24"/>
      <w:lang w:bidi="ar-SA" w:eastAsia="en-US" w:val="en-US"/>
    </w:rPr>
  </w:style>
  <w:style w:styleId="17" w:type="paragraph">
    <w:name w:val="footer"/>
    <w:basedOn w:val="1"/>
    <w:uiPriority w:val="0"/>
    <w:pPr>
      <w:tabs>
        <w:tab w:pos="4153" w:val="center"/>
        <w:tab w:pos="8306" w:val="right"/>
      </w:tabs>
      <w:snapToGrid w:val="0"/>
      <w:jc w:val="left"/>
    </w:pPr>
    <w:rPr>
      <w:sz w:val="18"/>
      <w:szCs w:val="18"/>
    </w:rPr>
  </w:style>
  <w:style w:styleId="18" w:type="paragraph">
    <w:name w:val="footnote text"/>
    <w:basedOn w:val="1"/>
    <w:unhideWhenUsed/>
    <w:qFormat/>
    <w:uiPriority w:val="9"/>
  </w:style>
  <w:style w:styleId="19" w:type="paragraph">
    <w:name w:val="header"/>
    <w:basedOn w:val="1"/>
    <w:uiPriority w:val="0"/>
    <w:pPr>
      <w:tabs>
        <w:tab w:pos="4153" w:val="center"/>
        <w:tab w:pos="8306" w:val="right"/>
      </w:tabs>
      <w:snapToGrid w:val="0"/>
    </w:pPr>
    <w:rPr>
      <w:sz w:val="18"/>
      <w:szCs w:val="18"/>
    </w:rPr>
  </w:style>
  <w:style w:styleId="20" w:type="character">
    <w:name w:val="Hyperlink"/>
    <w:basedOn w:val="21"/>
    <w:qFormat/>
    <w:uiPriority w:val="0"/>
    <w:rPr>
      <w:color w:val="000000"/>
    </w:rPr>
  </w:style>
  <w:style w:customStyle="1" w:styleId="21" w:type="character">
    <w:name w:val="Body Text Char"/>
    <w:basedOn w:val="12"/>
    <w:link w:val="15"/>
    <w:qFormat/>
    <w:uiPriority w:val="0"/>
  </w:style>
  <w:style w:styleId="22" w:type="paragraph">
    <w:name w:val="index heading"/>
    <w:basedOn w:val="23"/>
    <w:next w:val="24"/>
    <w:uiPriority w:val="0"/>
  </w:style>
  <w:style w:customStyle="1" w:styleId="23" w:type="paragraph">
    <w:name w:val="Heading"/>
    <w:basedOn w:val="1"/>
    <w:next w:val="3"/>
    <w:qFormat/>
    <w:uiPriority w:val="0"/>
    <w:pPr>
      <w:keepNext/>
      <w:spacing w:after="120" w:before="240"/>
    </w:pPr>
    <w:rPr>
      <w:rFonts w:ascii="Times New Roman" w:cs="Lohit Devanagari" w:eastAsia="Noto Sans CJK SC" w:hAnsi="Times New Roman"/>
      <w:sz w:val="28"/>
      <w:szCs w:val="28"/>
    </w:rPr>
  </w:style>
  <w:style w:styleId="24" w:type="paragraph">
    <w:name w:val="index 1"/>
    <w:basedOn w:val="1"/>
    <w:next w:val="1"/>
    <w:uiPriority w:val="0"/>
  </w:style>
  <w:style w:styleId="25" w:type="paragraph">
    <w:name w:val="List"/>
    <w:basedOn w:val="3"/>
    <w:uiPriority w:val="0"/>
    <w:rPr>
      <w:rFonts w:cs="Lohit Devanagari"/>
    </w:rPr>
  </w:style>
  <w:style w:styleId="26" w:type="paragraph">
    <w:name w:val="Subtitle"/>
    <w:basedOn w:val="27"/>
    <w:next w:val="3"/>
    <w:qFormat/>
    <w:uiPriority w:val="0"/>
    <w:pPr>
      <w:keepNext/>
      <w:keepLines/>
      <w:spacing w:after="240" w:before="240"/>
      <w:jc w:val="center"/>
    </w:pPr>
    <w:rPr>
      <w:sz w:val="30"/>
      <w:szCs w:val="30"/>
    </w:rPr>
  </w:style>
  <w:style w:styleId="27" w:type="paragraph">
    <w:name w:val="Title"/>
    <w:basedOn w:val="1"/>
    <w:next w:val="3"/>
    <w:qFormat/>
    <w:uiPriority w:val="0"/>
    <w:pPr>
      <w:keepNext/>
      <w:keepLines/>
      <w:spacing w:after="240" w:before="480"/>
      <w:jc w:val="center"/>
    </w:pPr>
    <w:rPr>
      <w:rFonts w:ascii="Times New Roman" w:cstheme="majorBidi" w:eastAsiaTheme="majorEastAsia" w:hAnsi="Times New Roman"/>
      <w:bCs/>
      <w:color w:val="000000"/>
      <w:sz w:val="32"/>
      <w:szCs w:val="32"/>
    </w:rPr>
  </w:style>
  <w:style w:customStyle="1" w:styleId="28" w:type="character">
    <w:name w:val="Verbatim Char"/>
    <w:basedOn w:val="21"/>
    <w:link w:val="29"/>
    <w:qFormat/>
    <w:uiPriority w:val="0"/>
    <w:rPr>
      <w:rFonts w:ascii="Consolas" w:hAnsi="Consolas"/>
      <w:sz w:val="22"/>
    </w:rPr>
  </w:style>
  <w:style w:customStyle="1" w:styleId="29" w:type="paragraph">
    <w:name w:val="Source Code"/>
    <w:basedOn w:val="1"/>
    <w:link w:val="28"/>
    <w:qFormat/>
    <w:uiPriority w:val="0"/>
    <w:pPr>
      <w:shd w:fill="F8F8F8" w:val="clear"/>
    </w:pPr>
  </w:style>
  <w:style w:customStyle="1" w:styleId="30" w:type="character">
    <w:name w:val="Section Number"/>
    <w:basedOn w:val="21"/>
    <w:qFormat/>
    <w:uiPriority w:val="0"/>
  </w:style>
  <w:style w:customStyle="1" w:styleId="31" w:type="character">
    <w:name w:val="Footnote Characters"/>
    <w:basedOn w:val="21"/>
    <w:qFormat/>
    <w:uiPriority w:val="0"/>
    <w:rPr>
      <w:vertAlign w:val="superscript"/>
    </w:rPr>
  </w:style>
  <w:style w:customStyle="1" w:styleId="32" w:type="character">
    <w:name w:val="Footnote Anchor"/>
    <w:qFormat/>
    <w:uiPriority w:val="0"/>
    <w:rPr>
      <w:vertAlign w:val="superscript"/>
    </w:rPr>
  </w:style>
  <w:style w:customStyle="1" w:styleId="33" w:type="character">
    <w:name w:val="KeywordTok"/>
    <w:basedOn w:val="28"/>
    <w:qFormat/>
    <w:uiPriority w:val="0"/>
    <w:rPr>
      <w:b/>
      <w:color w:val="204A87"/>
      <w:shd w:fill="F8F8F8" w:val="clear"/>
    </w:rPr>
  </w:style>
  <w:style w:customStyle="1" w:styleId="34" w:type="character">
    <w:name w:val="DataTypeTok"/>
    <w:basedOn w:val="28"/>
    <w:qFormat/>
    <w:uiPriority w:val="0"/>
    <w:rPr>
      <w:color w:val="204A87"/>
      <w:shd w:fill="F8F8F8" w:val="clear"/>
    </w:rPr>
  </w:style>
  <w:style w:customStyle="1" w:styleId="35" w:type="character">
    <w:name w:val="DecValTok"/>
    <w:basedOn w:val="28"/>
    <w:qFormat/>
    <w:uiPriority w:val="0"/>
    <w:rPr>
      <w:color w:val="0000CF"/>
      <w:shd w:fill="F8F8F8" w:val="clear"/>
    </w:rPr>
  </w:style>
  <w:style w:customStyle="1" w:styleId="36" w:type="character">
    <w:name w:val="BaseNTok"/>
    <w:basedOn w:val="28"/>
    <w:qFormat/>
    <w:uiPriority w:val="0"/>
    <w:rPr>
      <w:color w:val="0000CF"/>
      <w:shd w:fill="F8F8F8" w:val="clear"/>
    </w:rPr>
  </w:style>
  <w:style w:customStyle="1" w:styleId="37" w:type="character">
    <w:name w:val="FloatTok"/>
    <w:basedOn w:val="28"/>
    <w:qFormat/>
    <w:uiPriority w:val="0"/>
    <w:rPr>
      <w:color w:val="0000CF"/>
      <w:shd w:fill="F8F8F8" w:val="clear"/>
    </w:rPr>
  </w:style>
  <w:style w:customStyle="1" w:styleId="38" w:type="character">
    <w:name w:val="ConstantTok"/>
    <w:basedOn w:val="28"/>
    <w:qFormat/>
    <w:uiPriority w:val="0"/>
    <w:rPr>
      <w:color w:val="000000"/>
      <w:shd w:fill="F8F8F8" w:val="clear"/>
    </w:rPr>
  </w:style>
  <w:style w:customStyle="1" w:styleId="39" w:type="character">
    <w:name w:val="CharTok"/>
    <w:basedOn w:val="28"/>
    <w:qFormat/>
    <w:uiPriority w:val="0"/>
    <w:rPr>
      <w:color w:val="4E9A06"/>
      <w:shd w:fill="F8F8F8" w:val="clear"/>
    </w:rPr>
  </w:style>
  <w:style w:customStyle="1" w:styleId="40" w:type="character">
    <w:name w:val="SpecialCharTok"/>
    <w:basedOn w:val="28"/>
    <w:qFormat/>
    <w:uiPriority w:val="0"/>
    <w:rPr>
      <w:color w:val="000000"/>
      <w:shd w:fill="F8F8F8" w:val="clear"/>
    </w:rPr>
  </w:style>
  <w:style w:customStyle="1" w:styleId="41" w:type="character">
    <w:name w:val="StringTok"/>
    <w:basedOn w:val="28"/>
    <w:qFormat/>
    <w:uiPriority w:val="0"/>
    <w:rPr>
      <w:color w:val="4E9A06"/>
      <w:shd w:fill="F8F8F8" w:val="clear"/>
    </w:rPr>
  </w:style>
  <w:style w:customStyle="1" w:styleId="42" w:type="character">
    <w:name w:val="VerbatimStringTok"/>
    <w:basedOn w:val="28"/>
    <w:qFormat/>
    <w:uiPriority w:val="0"/>
    <w:rPr>
      <w:color w:val="4E9A06"/>
      <w:shd w:fill="F8F8F8" w:val="clear"/>
    </w:rPr>
  </w:style>
  <w:style w:customStyle="1" w:styleId="43" w:type="character">
    <w:name w:val="SpecialStringTok"/>
    <w:basedOn w:val="28"/>
    <w:qFormat/>
    <w:uiPriority w:val="0"/>
    <w:rPr>
      <w:color w:val="4E9A06"/>
      <w:shd w:fill="F8F8F8" w:val="clear"/>
    </w:rPr>
  </w:style>
  <w:style w:customStyle="1" w:styleId="44" w:type="character">
    <w:name w:val="ImportTok"/>
    <w:basedOn w:val="28"/>
    <w:qFormat/>
    <w:uiPriority w:val="0"/>
    <w:rPr>
      <w:shd w:fill="F8F8F8" w:val="clear"/>
    </w:rPr>
  </w:style>
  <w:style w:customStyle="1" w:styleId="45" w:type="character">
    <w:name w:val="CommentTok"/>
    <w:basedOn w:val="28"/>
    <w:qFormat/>
    <w:uiPriority w:val="0"/>
    <w:rPr>
      <w:i/>
      <w:color w:val="8F5902"/>
      <w:shd w:fill="F8F8F8" w:val="clear"/>
    </w:rPr>
  </w:style>
  <w:style w:customStyle="1" w:styleId="46" w:type="character">
    <w:name w:val="DocumentationTok"/>
    <w:basedOn w:val="28"/>
    <w:qFormat/>
    <w:uiPriority w:val="0"/>
    <w:rPr>
      <w:b/>
      <w:i/>
      <w:color w:val="8F5902"/>
      <w:shd w:fill="F8F8F8" w:val="clear"/>
    </w:rPr>
  </w:style>
  <w:style w:customStyle="1" w:styleId="47" w:type="character">
    <w:name w:val="AnnotationTok"/>
    <w:basedOn w:val="28"/>
    <w:qFormat/>
    <w:uiPriority w:val="0"/>
    <w:rPr>
      <w:b/>
      <w:i/>
      <w:color w:val="8F5902"/>
      <w:shd w:fill="F8F8F8" w:val="clear"/>
    </w:rPr>
  </w:style>
  <w:style w:customStyle="1" w:styleId="48" w:type="character">
    <w:name w:val="CommentVarTok"/>
    <w:basedOn w:val="28"/>
    <w:qFormat/>
    <w:uiPriority w:val="0"/>
    <w:rPr>
      <w:b/>
      <w:i/>
      <w:color w:val="8F5902"/>
      <w:shd w:fill="F8F8F8" w:val="clear"/>
    </w:rPr>
  </w:style>
  <w:style w:customStyle="1" w:styleId="49" w:type="character">
    <w:name w:val="OtherTok"/>
    <w:basedOn w:val="28"/>
    <w:qFormat/>
    <w:uiPriority w:val="0"/>
    <w:rPr>
      <w:color w:val="8F5902"/>
      <w:shd w:fill="F8F8F8" w:val="clear"/>
    </w:rPr>
  </w:style>
  <w:style w:customStyle="1" w:styleId="50" w:type="character">
    <w:name w:val="FunctionTok"/>
    <w:basedOn w:val="28"/>
    <w:qFormat/>
    <w:uiPriority w:val="0"/>
    <w:rPr>
      <w:color w:val="000000"/>
      <w:shd w:fill="F8F8F8" w:val="clear"/>
    </w:rPr>
  </w:style>
  <w:style w:customStyle="1" w:styleId="51" w:type="character">
    <w:name w:val="VariableTok"/>
    <w:basedOn w:val="28"/>
    <w:qFormat/>
    <w:uiPriority w:val="0"/>
    <w:rPr>
      <w:color w:val="000000"/>
      <w:shd w:fill="F8F8F8" w:val="clear"/>
    </w:rPr>
  </w:style>
  <w:style w:customStyle="1" w:styleId="52" w:type="character">
    <w:name w:val="ControlFlowTok"/>
    <w:basedOn w:val="28"/>
    <w:qFormat/>
    <w:uiPriority w:val="0"/>
    <w:rPr>
      <w:b/>
      <w:color w:val="204A87"/>
      <w:shd w:fill="F8F8F8" w:val="clear"/>
    </w:rPr>
  </w:style>
  <w:style w:customStyle="1" w:styleId="53" w:type="character">
    <w:name w:val="OperatorTok"/>
    <w:basedOn w:val="28"/>
    <w:qFormat/>
    <w:uiPriority w:val="0"/>
    <w:rPr>
      <w:b/>
      <w:color w:val="CE5C00"/>
      <w:shd w:fill="F8F8F8" w:val="clear"/>
    </w:rPr>
  </w:style>
  <w:style w:customStyle="1" w:styleId="54" w:type="character">
    <w:name w:val="BuiltInTok"/>
    <w:basedOn w:val="28"/>
    <w:qFormat/>
    <w:uiPriority w:val="0"/>
    <w:rPr>
      <w:shd w:fill="F8F8F8" w:val="clear"/>
    </w:rPr>
  </w:style>
  <w:style w:customStyle="1" w:styleId="55" w:type="character">
    <w:name w:val="ExtensionTok"/>
    <w:basedOn w:val="28"/>
    <w:qFormat/>
    <w:uiPriority w:val="0"/>
    <w:rPr>
      <w:shd w:fill="F8F8F8" w:val="clear"/>
    </w:rPr>
  </w:style>
  <w:style w:customStyle="1" w:styleId="56" w:type="character">
    <w:name w:val="PreprocessorTok"/>
    <w:basedOn w:val="28"/>
    <w:qFormat/>
    <w:uiPriority w:val="0"/>
    <w:rPr>
      <w:i/>
      <w:color w:val="8F5902"/>
      <w:shd w:fill="F8F8F8" w:val="clear"/>
    </w:rPr>
  </w:style>
  <w:style w:customStyle="1" w:styleId="57" w:type="character">
    <w:name w:val="AttributeTok"/>
    <w:basedOn w:val="28"/>
    <w:qFormat/>
    <w:uiPriority w:val="0"/>
    <w:rPr>
      <w:color w:val="C4A000"/>
      <w:shd w:fill="F8F8F8" w:val="clear"/>
    </w:rPr>
  </w:style>
  <w:style w:customStyle="1" w:styleId="58" w:type="character">
    <w:name w:val="RegionMarkerTok"/>
    <w:basedOn w:val="28"/>
    <w:qFormat/>
    <w:uiPriority w:val="0"/>
    <w:rPr>
      <w:shd w:fill="F8F8F8" w:val="clear"/>
    </w:rPr>
  </w:style>
  <w:style w:customStyle="1" w:styleId="59" w:type="character">
    <w:name w:val="InformationTok"/>
    <w:basedOn w:val="28"/>
    <w:qFormat/>
    <w:uiPriority w:val="0"/>
    <w:rPr>
      <w:b/>
      <w:i/>
      <w:color w:val="8F5902"/>
      <w:shd w:fill="F8F8F8" w:val="clear"/>
    </w:rPr>
  </w:style>
  <w:style w:customStyle="1" w:styleId="60" w:type="character">
    <w:name w:val="WarningTok"/>
    <w:basedOn w:val="28"/>
    <w:qFormat/>
    <w:uiPriority w:val="0"/>
    <w:rPr>
      <w:b/>
      <w:i/>
      <w:color w:val="8F5902"/>
      <w:shd w:fill="F8F8F8" w:val="clear"/>
    </w:rPr>
  </w:style>
  <w:style w:customStyle="1" w:styleId="61" w:type="character">
    <w:name w:val="AlertTok"/>
    <w:basedOn w:val="28"/>
    <w:qFormat/>
    <w:uiPriority w:val="0"/>
    <w:rPr>
      <w:color w:val="EF2929"/>
      <w:shd w:fill="F8F8F8" w:val="clear"/>
    </w:rPr>
  </w:style>
  <w:style w:customStyle="1" w:styleId="62" w:type="character">
    <w:name w:val="ErrorTok"/>
    <w:basedOn w:val="28"/>
    <w:qFormat/>
    <w:uiPriority w:val="0"/>
    <w:rPr>
      <w:b/>
      <w:color w:val="A40000"/>
      <w:shd w:fill="F8F8F8" w:val="clear"/>
    </w:rPr>
  </w:style>
  <w:style w:customStyle="1" w:styleId="63" w:type="character">
    <w:name w:val="NormalTok"/>
    <w:basedOn w:val="28"/>
    <w:qFormat/>
    <w:uiPriority w:val="0"/>
    <w:rPr>
      <w:shd w:fill="F8F8F8" w:val="clear"/>
    </w:rPr>
  </w:style>
  <w:style w:customStyle="1" w:styleId="64" w:type="paragraph">
    <w:name w:val="Index"/>
    <w:basedOn w:val="1"/>
    <w:qFormat/>
    <w:uiPriority w:val="0"/>
    <w:pPr>
      <w:suppressLineNumbers/>
    </w:pPr>
    <w:rPr>
      <w:rFonts w:cs="Lohit Devanagari"/>
    </w:rPr>
  </w:style>
  <w:style w:customStyle="1" w:styleId="65" w:type="paragraph">
    <w:name w:val="First Paragraph"/>
    <w:basedOn w:val="3"/>
    <w:next w:val="3"/>
    <w:qFormat/>
    <w:uiPriority w:val="0"/>
    <w:rPr>
      <w:rFonts w:ascii="Times New Roman" w:hAnsi="Times New Roman"/>
      <w:sz w:val="24"/>
    </w:rPr>
  </w:style>
  <w:style w:customStyle="1" w:styleId="66" w:type="paragraph">
    <w:name w:val="Compact"/>
    <w:basedOn w:val="3"/>
    <w:qFormat/>
    <w:uiPriority w:val="0"/>
    <w:pPr>
      <w:spacing w:after="36" w:before="36"/>
    </w:pPr>
    <w:rPr>
      <w:rFonts w:ascii="Times New Roman" w:hAnsi="Times New Roman"/>
    </w:rPr>
  </w:style>
  <w:style w:customStyle="1" w:styleId="67" w:type="paragraph">
    <w:name w:val="Author"/>
    <w:next w:val="3"/>
    <w:qFormat/>
    <w:uiPriority w:val="0"/>
    <w:pPr>
      <w:keepNext/>
      <w:keepLines/>
      <w:widowControl/>
      <w:suppressAutoHyphens/>
      <w:bidi w:val="0"/>
      <w:spacing w:after="200" w:before="0"/>
      <w:jc w:val="center"/>
    </w:pPr>
    <w:rPr>
      <w:rFonts w:ascii="Times New Roman" w:cstheme="minorBidi" w:eastAsiaTheme="minorHAnsi" w:hAnsi="Times New Roman"/>
      <w:color w:val="auto"/>
      <w:kern w:val="0"/>
      <w:sz w:val="24"/>
      <w:szCs w:val="24"/>
      <w:lang w:bidi="ar-SA" w:eastAsia="en-US" w:val="en-US"/>
    </w:rPr>
  </w:style>
  <w:style w:customStyle="1" w:styleId="68" w:type="paragraph">
    <w:name w:val="Abstract"/>
    <w:basedOn w:val="1"/>
    <w:next w:val="3"/>
    <w:qFormat/>
    <w:uiPriority w:val="0"/>
    <w:pPr>
      <w:keepNext/>
      <w:keepLines/>
      <w:spacing w:after="300" w:before="300"/>
    </w:pPr>
    <w:rPr>
      <w:sz w:val="20"/>
      <w:szCs w:val="20"/>
    </w:rPr>
  </w:style>
  <w:style w:customStyle="1" w:styleId="69" w:type="paragraph">
    <w:name w:val="Bibliography"/>
    <w:basedOn w:val="1"/>
    <w:qFormat/>
    <w:uiPriority w:val="0"/>
    <w:rPr>
      <w:rFonts w:ascii="Times New Roman" w:hAnsi="Times New Roman"/>
    </w:rPr>
  </w:style>
  <w:style w:customStyle="1" w:styleId="70" w:type="paragraph">
    <w:name w:val="Definition Term"/>
    <w:basedOn w:val="1"/>
    <w:next w:val="71"/>
    <w:qFormat/>
    <w:uiPriority w:val="0"/>
    <w:pPr>
      <w:keepNext/>
      <w:keepLines/>
      <w:spacing w:after="0" w:before="0"/>
    </w:pPr>
    <w:rPr>
      <w:b/>
    </w:rPr>
  </w:style>
  <w:style w:customStyle="1" w:styleId="71" w:type="paragraph">
    <w:name w:val="Definition"/>
    <w:basedOn w:val="1"/>
    <w:qFormat/>
    <w:uiPriority w:val="0"/>
  </w:style>
  <w:style w:customStyle="1" w:styleId="72" w:type="paragraph">
    <w:name w:val="Table Caption"/>
    <w:basedOn w:val="15"/>
    <w:qFormat/>
    <w:uiPriority w:val="0"/>
    <w:pPr>
      <w:keepNext/>
      <w:spacing w:after="119" w:before="170"/>
      <w:jc w:val="center"/>
    </w:pPr>
    <w:rPr>
      <w:rFonts w:ascii="Times New Roman" w:hAnsi="Times New Roman"/>
      <w:i w:val="0"/>
      <w:sz w:val="18"/>
      <w:szCs w:val="16"/>
    </w:rPr>
  </w:style>
  <w:style w:customStyle="1" w:styleId="73" w:type="paragraph">
    <w:name w:val="Image Caption"/>
    <w:basedOn w:val="15"/>
    <w:qFormat/>
    <w:uiPriority w:val="0"/>
    <w:pPr>
      <w:spacing w:after="176" w:before="0"/>
    </w:pPr>
    <w:rPr>
      <w:rFonts w:ascii="Times New Roman" w:hAnsi="Times New Roman"/>
      <w:i w:val="0"/>
      <w:sz w:val="18"/>
    </w:rPr>
  </w:style>
  <w:style w:customStyle="1" w:styleId="74" w:type="paragraph">
    <w:name w:val="Figure"/>
    <w:basedOn w:val="1"/>
    <w:qFormat/>
    <w:uiPriority w:val="0"/>
    <w:pPr>
      <w:jc w:val="center"/>
    </w:pPr>
  </w:style>
  <w:style w:customStyle="1" w:styleId="75" w:type="paragraph">
    <w:name w:val="Captioned Figure"/>
    <w:basedOn w:val="74"/>
    <w:qFormat/>
    <w:uiPriority w:val="0"/>
    <w:pPr>
      <w:keepNext/>
    </w:pPr>
  </w:style>
  <w:style w:customStyle="1" w:styleId="76" w:type="paragraph">
    <w:name w:val="TOC Heading"/>
    <w:basedOn w:val="2"/>
    <w:next w:val="3"/>
    <w:unhideWhenUsed/>
    <w:qFormat/>
    <w:uiPriority w:val="39"/>
    <w:pPr>
      <w:numPr>
        <w:ilvl w:val="0"/>
        <w:numId w:val="0"/>
      </w:numPr>
      <w:spacing w:after="0" w:before="240" w:line="259" w:lineRule="auto"/>
      <w:outlineLvl w:val="9"/>
    </w:pPr>
    <w:rPr>
      <w:rFonts w:asciiTheme="majorHAnsi" w:cstheme="majorBidi" w:eastAsiaTheme="majorEastAsia" w:hAnsiTheme="majorHAnsi"/>
      <w:b w:val="0"/>
      <w:bCs w:val="0"/>
      <w:color w:themeColor="accent1" w:themeShade="BF" w:val="366091"/>
    </w:rPr>
  </w:style>
  <w:style w:customStyle="1" w:styleId="77" w:type="paragraph">
    <w:name w:val="Table Contents"/>
    <w:basedOn w:val="1"/>
    <w:qFormat/>
    <w:uiPriority w:val="0"/>
    <w:pPr>
      <w:widowControl w:val="0"/>
      <w:suppressLineNumbers/>
      <w:jc w:val="center"/>
    </w:pPr>
  </w:style>
  <w:style w:customStyle="1" w:styleId="78" w:type="paragraph">
    <w:name w:val="Table Heading"/>
    <w:basedOn w:val="77"/>
    <w:qFormat/>
    <w:uiPriority w:val="0"/>
    <w:pPr>
      <w:suppressLineNumbers/>
      <w:jc w:val="center"/>
    </w:pPr>
    <w:rPr>
      <w:b/>
      <w:bCs/>
    </w:rPr>
  </w:style>
  <w:style w:customStyle="1" w:styleId="79" w:type="table">
    <w:name w:val="Table"/>
    <w:semiHidden/>
    <w:unhideWhenUsed/>
    <w:qFormat/>
    <w:uiPriority w:val="0"/>
    <w:tblPr>
      <w:tblCellMar>
        <w:top w:type="dxa" w:w="0"/>
        <w:left w:type="dxa" w:w="108"/>
        <w:bottom w:type="dxa" w:w="0"/>
        <w:right w:type="dxa" w:w="108"/>
      </w:tblCellMar>
    </w:tblPr>
    <w:tblStylePr w:type="firstRow">
      <w:tcPr>
        <w:tcBorders>
          <w:bottom w:color="auto" w:space="0" w:sz="0" w:val="single"/>
        </w:tcBorders>
        <w:vAlign w:val="bottom"/>
      </w:tcPr>
    </w:tblStyle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5" Target="media/rId25.png" /><Relationship Type="http://schemas.openxmlformats.org/officeDocument/2006/relationships/image" Id="rId39" Target="media/rId39.bmp" /><Relationship Type="http://schemas.openxmlformats.org/officeDocument/2006/relationships/image" Id="rId42" Target="media/rId42.bmp" /><Relationship Type="http://schemas.openxmlformats.org/officeDocument/2006/relationships/image" Id="rId45" Target="media/rId45.bmp" /><Relationship Type="http://schemas.openxmlformats.org/officeDocument/2006/relationships/image" Id="rId21" Target="media/rId21.png" /><Relationship Type="http://schemas.openxmlformats.org/officeDocument/2006/relationships/image" Id="rId49" Target="media/rId49.bmp" /><Relationship Type="http://schemas.openxmlformats.org/officeDocument/2006/relationships/image" Id="rId52" Target="media/rId52.bmp" /><Relationship Type="http://schemas.openxmlformats.org/officeDocument/2006/relationships/image" Id="rId55" Target="media/rId55.bmp" /><Relationship Type="http://schemas.openxmlformats.org/officeDocument/2006/relationships/image" Id="rId34" Target="media/rId34.bmp" /><Relationship Type="http://schemas.openxmlformats.org/officeDocument/2006/relationships/image" Id="rId31" Target="media/rId31.bmp" /><Relationship Type="http://schemas.openxmlformats.org/officeDocument/2006/relationships/hyperlink" Id="rId66" Target="https://doi.org/10.1002/(SICI)1099-1085(199808/09)12:10/11&lt;1611::AID-HYP684&gt;3.0.CO;2-4" TargetMode="External" /><Relationship Type="http://schemas.openxmlformats.org/officeDocument/2006/relationships/hyperlink" Id="rId60" Target="https://doi.org/10.1002/2015WR017198" TargetMode="External" /><Relationship Type="http://schemas.openxmlformats.org/officeDocument/2006/relationships/hyperlink" Id="rId74" Target="https://doi.org/10.1002/ece3.5152" TargetMode="External" /><Relationship Type="http://schemas.openxmlformats.org/officeDocument/2006/relationships/hyperlink" Id="rId68" Target="https://doi.org/10.1002/hyp.14274" TargetMode="External" /><Relationship Type="http://schemas.openxmlformats.org/officeDocument/2006/relationships/hyperlink" Id="rId62" Target="https://doi.org/10.1002/wrcr.20089" TargetMode="External" /><Relationship Type="http://schemas.openxmlformats.org/officeDocument/2006/relationships/hyperlink" Id="rId71" Target="https://doi.org/10.1029/2018WR024089" TargetMode="External" /><Relationship Type="http://schemas.openxmlformats.org/officeDocument/2006/relationships/hyperlink" Id="rId64" Target="https://doi.org/10.1175/1525-7541(2004)005&lt;0785:MFCIOS&gt;2.0.CO;2" TargetMode="External" /></Relationships>
</file>

<file path=word/_rels/footnotes.xml.rels><?xml version="1.0" encoding="UTF-8"?><Relationships xmlns="http://schemas.openxmlformats.org/package/2006/relationships"><Relationship Type="http://schemas.openxmlformats.org/officeDocument/2006/relationships/hyperlink" Id="rId66" Target="https://doi.org/10.1002/(SICI)1099-1085(199808/09)12:10/11&lt;1611::AID-HYP684&gt;3.0.CO;2-4" TargetMode="External" /><Relationship Type="http://schemas.openxmlformats.org/officeDocument/2006/relationships/hyperlink" Id="rId60" Target="https://doi.org/10.1002/2015WR017198" TargetMode="External" /><Relationship Type="http://schemas.openxmlformats.org/officeDocument/2006/relationships/hyperlink" Id="rId74" Target="https://doi.org/10.1002/ece3.5152" TargetMode="External" /><Relationship Type="http://schemas.openxmlformats.org/officeDocument/2006/relationships/hyperlink" Id="rId68" Target="https://doi.org/10.1002/hyp.14274" TargetMode="External" /><Relationship Type="http://schemas.openxmlformats.org/officeDocument/2006/relationships/hyperlink" Id="rId62" Target="https://doi.org/10.1002/wrcr.20089" TargetMode="External" /><Relationship Type="http://schemas.openxmlformats.org/officeDocument/2006/relationships/hyperlink" Id="rId71" Target="https://doi.org/10.1029/2018WR024089" TargetMode="External" /><Relationship Type="http://schemas.openxmlformats.org/officeDocument/2006/relationships/hyperlink" Id="rId64" Target="https://doi.org/10.1175/1525-7541(2004)005&lt;0785:MFCIOS&gt;2.0.CO;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7</Pages>
  <Words>2439</Words>
  <Characters>13847</Characters>
  <Paragraphs>95</Paragraphs>
  <TotalTime>108</TotalTime>
  <ScaleCrop>false</ScaleCrop>
  <LinksUpToDate>false</LinksUpToDate>
  <CharactersWithSpaces>16175</CharactersWithSpaces>
  <Application>WPS Office_11.1.0.11664_F1E327BC-269C-435d-A152-05C5408002CA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Outline: Snow Interception Processes in the Subalpine</dc:title>
  <dc:creator>Alex Cebulski &amp; John Pomeroy</dc:creator>
  <cp:keywords/>
  <dcterms:created xsi:type="dcterms:W3CDTF">2023-06-28T19:51:14Z</dcterms:created>
  <dcterms:modified xsi:type="dcterms:W3CDTF">2023-06-28T19:51:14Z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../../papers/bibtex/library.bib</vt:lpwstr>
  </property>
  <property fmtid="{D5CDD505-2E9C-101B-9397-08002B2CF9AE}" pid="5" name="by-author">
    <vt:lpwstr/>
  </property>
  <property fmtid="{D5CDD505-2E9C-101B-9397-08002B2CF9AE}" pid="6" name="csl">
    <vt:lpwstr>../../papers/bibtex/csl-styles/apa-disable-disambiguate-add-names.csl</vt:lpwstr>
  </property>
  <property fmtid="{D5CDD505-2E9C-101B-9397-08002B2CF9AE}" pid="7" name="date">
    <vt:lpwstr>June 28, 2023</vt:lpwstr>
  </property>
  <property fmtid="{D5CDD505-2E9C-101B-9397-08002B2CF9AE}" pid="8" name="date-format">
    <vt:lpwstr>long</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