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Twelve Report</w:t>
      </w:r>
    </w:p>
    <w:p>
      <w:r>
        <w:t>Fault condition Twelve of ASHRAE Guideline 36 is an AHU economizer + mechanical cooling mode and AHU mechanical cooling mode only with an attempt at flagging conditions when the AHU mixing air temperature is warmer than the supply air temperature. Fault condition Twelve equation as defined by ASHRAE:</w:t>
      </w:r>
    </w:p>
    <w:p>
      <w:r>
        <w:drawing>
          <wp:inline xmlns:a="http://schemas.openxmlformats.org/drawingml/2006/main" xmlns:pic="http://schemas.openxmlformats.org/drawingml/2006/picture">
            <wp:extent cx="5486400" cy="1360035"/>
            <wp:docPr id="1" name="Picture 1"/>
            <wp:cNvGraphicFramePr>
              <a:graphicFrameLocks noChangeAspect="1"/>
            </wp:cNvGraphicFramePr>
            <a:graphic>
              <a:graphicData uri="http://schemas.openxmlformats.org/drawingml/2006/picture">
                <pic:pic>
                  <pic:nvPicPr>
                    <pic:cNvPr id="0" name="fc12_definition.png"/>
                    <pic:cNvPicPr/>
                  </pic:nvPicPr>
                  <pic:blipFill>
                    <a:blip r:embed="rId9"/>
                    <a:stretch>
                      <a:fillRect/>
                    </a:stretch>
                  </pic:blipFill>
                  <pic:spPr>
                    <a:xfrm>
                      <a:off x="0" y="0"/>
                      <a:ext cx="5486400" cy="1360035"/>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322.0</w:t>
      </w:r>
    </w:p>
    <w:p>
      <w:pPr>
        <w:pStyle w:val="ListBullet"/>
      </w:pPr>
      <w:r>
        <w:t>Total time in hours calculated in dataset: 7727.983333333334</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ListBullet"/>
      </w:pPr>
      <w:r>
        <w:t>Calculated motor runtime in hours based off of VFD signal &gt; zero: 3061.08</w:t>
      </w:r>
    </w:p>
    <w:p>
      <w:pPr>
        <w:pStyle w:val="ListBullet"/>
      </w:pPr>
      <w:r>
        <w:t>No faults were found in this given dataset for the equation defined by ASHRAE.</w:t>
      </w:r>
    </w:p>
    <w:p>
      <w:pPr>
        <w:pStyle w:val="Heading1"/>
      </w:pPr>
      <w:r>
        <w:t>Summary Statistics filtered for when the AHU is running</w:t>
      </w:r>
    </w:p>
    <w:p>
      <w:pPr>
        <w:pStyle w:val="Heading3"/>
      </w:pPr>
      <w:r>
        <w:t>Supply Air Temp</w:t>
      </w:r>
    </w:p>
    <w:p>
      <w:pPr>
        <w:pStyle w:val="ListBullet"/>
      </w:pPr>
      <w:r>
        <w:t>count    183665.000000</w:t>
        <w:br/>
        <w:t>mean         54.113744</w:t>
        <w:br/>
        <w:t>std           1.730771</w:t>
        <w:br/>
        <w:t>min          48.578000</w:t>
        <w:br/>
        <w:t>25%          52.740000</w:t>
        <w:br/>
        <w:t>50%          54.928000</w:t>
        <w:br/>
        <w:t>75%          55.046000</w:t>
        <w:br/>
        <w:t>max          70.310000</w:t>
        <w:br/>
        <w:t>Name: AHU: Supply Air Temperature, dtype: float64</w:t>
      </w:r>
    </w:p>
    <w:p>
      <w:pPr>
        <w:pStyle w:val="Heading3"/>
      </w:pPr>
      <w:r>
        <w:t>Mix Air Temp</w:t>
      </w:r>
    </w:p>
    <w:p>
      <w:pPr>
        <w:pStyle w:val="ListBullet"/>
      </w:pPr>
      <w:r>
        <w:t>count    183665.000000</w:t>
        <w:br/>
        <w:t>mean         64.303172</w:t>
        <w:br/>
        <w:t>std           7.987304</w:t>
        <w:br/>
        <w:t>min          40.262000</w:t>
        <w:br/>
        <w:t>25%          55.090000</w:t>
        <w:br/>
        <w:t>50%          64.300000</w:t>
        <w:br/>
        <w:t>75%          72.220000</w:t>
        <w:br/>
        <w:t>max          78.320000</w:t>
        <w:br/>
        <w:t>Name: AHU: Mixed Air Temperature, dtype: float64</w:t>
      </w:r>
    </w:p>
    <w:p>
      <w:pPr>
        <w:pStyle w:val="Heading2"/>
      </w:pPr>
      <w:r>
        <w:t>Suggestions based on data analysis</w:t>
      </w:r>
    </w:p>
    <w:p>
      <w:pPr>
        <w:pStyle w:val="ListBullet"/>
      </w:pPr>
      <w:r>
        <w:t>The percent True metric that represents the amount of time for when the fault flag is True is low inidicating the AHU components are within calibration for this fault equation Ok.</w:t>
      </w:r>
    </w:p>
    <w:p>
      <w:r>
        <w:rPr>
          <w:rStyle w:val="Emphasis"/>
        </w:rPr>
        <w:t>Report generated: Tue Apr 11 12:02:25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