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Eleven Report</w:t>
      </w:r>
    </w:p>
    <w:p>
      <w:r>
        <w:t>Fault condition eleven of ASHRAE Guideline 36 is an AHU economizer + mechanical cooling mode only with an attempt at flagging conditions where the outside air temperature is too low for 100% outside air AHU operating mode. Fault condition Eleven equation as defined by ASHRAE:</w:t>
      </w:r>
    </w:p>
    <w:p>
      <w:r>
        <w:drawing>
          <wp:inline xmlns:a="http://schemas.openxmlformats.org/drawingml/2006/main" xmlns:pic="http://schemas.openxmlformats.org/drawingml/2006/picture">
            <wp:extent cx="5486400" cy="931911"/>
            <wp:docPr id="1" name="Picture 1"/>
            <wp:cNvGraphicFramePr>
              <a:graphicFrameLocks noChangeAspect="1"/>
            </wp:cNvGraphicFramePr>
            <a:graphic>
              <a:graphicData uri="http://schemas.openxmlformats.org/drawingml/2006/picture">
                <pic:pic>
                  <pic:nvPicPr>
                    <pic:cNvPr id="0" name="fc11_definition.png"/>
                    <pic:cNvPicPr/>
                  </pic:nvPicPr>
                  <pic:blipFill>
                    <a:blip r:embed="rId9"/>
                    <a:stretch>
                      <a:fillRect/>
                    </a:stretch>
                  </pic:blipFill>
                  <pic:spPr>
                    <a:xfrm>
                      <a:off x="0" y="0"/>
                      <a:ext cx="5486400" cy="93191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0.55</w:t>
      </w:r>
    </w:p>
    <w:p>
      <w:pPr>
        <w:pStyle w:val="ListBullet"/>
      </w:pPr>
      <w:r>
        <w:t>Percent of time in the dataset when the fault flag is True: 0.15%</w:t>
      </w:r>
    </w:p>
    <w:p>
      <w:pPr>
        <w:pStyle w:val="ListBullet"/>
      </w:pPr>
      <w:r>
        <w:t>Percent of time in the dataset when the fault flag is False: 99.85%</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11 is True the average AHU mix air is 40.49 in °F and the supply air temperature is 55.0 in °F.</w:t>
      </w:r>
    </w:p>
    <w:p>
      <w:pPr>
        <w:pStyle w:val="Heading1"/>
      </w:pPr>
      <w:r>
        <w:t>Summary Statistics filtered for when the AHU is running</w:t>
      </w:r>
    </w:p>
    <w:p>
      <w:pPr>
        <w:pStyle w:val="Heading3"/>
      </w:pPr>
      <w:r>
        <w:t>Supply Air Temp Setpoint</w:t>
      </w:r>
    </w:p>
    <w:p>
      <w:pPr>
        <w:pStyle w:val="ListBullet"/>
      </w:pPr>
      <w:r>
        <w:t>count    21600.000000</w:t>
        <w:br/>
        <w:t>mean        57.000463</w:t>
        <w:br/>
        <w:t>std          3.999977</w:t>
        <w:br/>
        <w:t>min         55.000000</w:t>
        <w:br/>
        <w:t>25%         55.000000</w:t>
        <w:br/>
        <w:t>50%         55.000000</w:t>
        <w:br/>
        <w:t>75%         55.000000</w:t>
        <w:br/>
        <w:t>max         65.000000</w:t>
        <w:br/>
        <w:t>Name: AHU: Supply Air Temperature Set Point, dtype: float64</w:t>
      </w:r>
    </w:p>
    <w:p>
      <w:pPr>
        <w:pStyle w:val="Heading3"/>
      </w:pPr>
      <w:r>
        <w:t>Outside Air Temp</w:t>
      </w:r>
    </w:p>
    <w:p>
      <w:pPr>
        <w:pStyle w:val="ListBullet"/>
      </w:pPr>
      <w:r>
        <w:t>count    21600.000000</w:t>
        <w:br/>
        <w:t>mean        58.224958</w:t>
        <w:br/>
        <w:t>std         21.454548</w:t>
        <w:br/>
        <w:t>min         -0.456000</w:t>
        <w:br/>
        <w:t>25%         44.965500</w:t>
        <w:br/>
        <w:t>50%         63.643000</w:t>
        <w:br/>
        <w:t>75%         74.556500</w:t>
        <w:br/>
        <w:t>max         91.776000</w:t>
        <w:br/>
        <w:t>Name: AHU: Outdoor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Tue Apr 11 12:01:52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