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0.8</w:t>
      </w:r>
    </w:p>
    <w:p>
      <w:pPr>
        <w:pStyle w:val="ListBullet"/>
      </w:pPr>
      <w:r>
        <w:t>Percent of time in the dataset when the fault flag is True: 0.22%</w:t>
      </w:r>
    </w:p>
    <w:p>
      <w:pPr>
        <w:pStyle w:val="ListBullet"/>
      </w:pPr>
      <w:r>
        <w:t>Percent of time in the dataset when the fault flag is False: 99.78%</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7 is True the average AHU supply air setpoint is 55.93 in °F and the supply air temperature is 65.0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Heating Coil Valve</w:t>
      </w:r>
    </w:p>
    <w:p>
      <w:pPr>
        <w:pStyle w:val="ListBullet"/>
      </w:pPr>
      <w:r>
        <w:t>count    21600.000000</w:t>
        <w:br/>
        <w:t>mean         0.083330</w:t>
        <w:br/>
        <w:t>std          0.249507</w:t>
        <w:br/>
        <w:t>min          0.000000</w:t>
        <w:br/>
        <w:t>25%          0.000000</w:t>
        <w:br/>
        <w:t>50%          0.000000</w:t>
        <w:br/>
        <w:t>75%          0.000000</w:t>
        <w:br/>
        <w:t>max          1.000000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Tue Apr 11 11:59:09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