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Eight Report</w:t>
      </w:r>
    </w:p>
    <w:p>
      <w:r>
        <w:t>Fault condition Eight of ASHRAE Guideline 36 is an AHU economizer free cooling mode only with an attempt at flagging conditions when the AHU mixing air temperature the supply air temperature are not approximately equal. Fault condition eight equation as defined by ASHRAE:</w:t>
      </w:r>
    </w:p>
    <w:p>
      <w:r>
        <w:drawing>
          <wp:inline xmlns:a="http://schemas.openxmlformats.org/drawingml/2006/main" xmlns:pic="http://schemas.openxmlformats.org/drawingml/2006/picture">
            <wp:extent cx="5486400" cy="868559"/>
            <wp:docPr id="1" name="Picture 1"/>
            <wp:cNvGraphicFramePr>
              <a:graphicFrameLocks noChangeAspect="1"/>
            </wp:cNvGraphicFramePr>
            <a:graphic>
              <a:graphicData uri="http://schemas.openxmlformats.org/drawingml/2006/picture">
                <pic:pic>
                  <pic:nvPicPr>
                    <pic:cNvPr id="0" name="fc8_definition.png"/>
                    <pic:cNvPicPr/>
                  </pic:nvPicPr>
                  <pic:blipFill>
                    <a:blip r:embed="rId9"/>
                    <a:stretch>
                      <a:fillRect/>
                    </a:stretch>
                  </pic:blipFill>
                  <pic:spPr>
                    <a:xfrm>
                      <a:off x="0" y="0"/>
                      <a:ext cx="5486400" cy="868559"/>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31.733333333333334</w:t>
      </w:r>
    </w:p>
    <w:p>
      <w:pPr>
        <w:pStyle w:val="ListBullet"/>
      </w:pPr>
      <w:r>
        <w:t>Percent of time in the dataset when the fault flag is True: 8.81%</w:t>
      </w:r>
    </w:p>
    <w:p>
      <w:pPr>
        <w:pStyle w:val="ListBullet"/>
      </w:pPr>
      <w:r>
        <w:t>Percent of time in the dataset when the fault flag is False: 91.19%</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8 is True the average AHU mix air is 65.0 in °F and the supply air temperature is 52.92 in °F.</w:t>
      </w:r>
    </w:p>
    <w:p>
      <w:pPr>
        <w:pStyle w:val="Heading1"/>
      </w:pPr>
      <w:r>
        <w:t>Summary Statistics filtered for when the AHU is running</w:t>
      </w:r>
    </w:p>
    <w:p>
      <w:pPr>
        <w:pStyle w:val="Heading3"/>
      </w:pPr>
      <w:r>
        <w:t>Supply Air Temp</w:t>
      </w:r>
    </w:p>
    <w:p>
      <w:pPr>
        <w:pStyle w:val="ListBullet"/>
      </w:pPr>
      <w:r>
        <w:t>count    21600.000000</w:t>
        <w:br/>
        <w:t>mean        67.488601</w:t>
        <w:br/>
        <w:t>std          7.859105</w:t>
        <w:br/>
        <w:t>min         39.212000</w:t>
        <w:br/>
        <w:t>25%         64.080000</w:t>
        <w:br/>
        <w:t>50%         68.684000</w:t>
        <w:br/>
        <w:t>75%         72.590000</w:t>
        <w:br/>
        <w:t>max        108.130000</w:t>
        <w:br/>
        <w:t>Name: AHU: Mixed Air Temperature, dtype: float64</w:t>
      </w:r>
    </w:p>
    <w:p>
      <w:pPr>
        <w:pStyle w:val="Heading3"/>
      </w:pPr>
      <w:r>
        <w:t>Mix Air Temp</w:t>
      </w:r>
    </w:p>
    <w:p>
      <w:pPr>
        <w:pStyle w:val="ListBullet"/>
      </w:pPr>
      <w:r>
        <w:t>count    21600.000000</w:t>
        <w:br/>
        <w:t>mean        62.996892</w:t>
        <w:br/>
        <w:t>std          7.352721</w:t>
        <w:br/>
        <w:t>min         46.624000</w:t>
        <w:br/>
        <w:t>25%         55.150000</w:t>
        <w:br/>
        <w:t>50%         64.792000</w:t>
        <w:br/>
        <w:t>75%         70.430000</w:t>
        <w:br/>
        <w:t>max         79.474000</w:t>
        <w:br/>
        <w:t>Name: AHU: Supply Air Temperature, dtype: float64</w:t>
      </w:r>
    </w:p>
    <w:p>
      <w:pPr>
        <w:pStyle w:val="Heading2"/>
      </w:pPr>
      <w:r>
        <w:t>Suggestions based on data analysis</w:t>
      </w:r>
    </w:p>
    <w:p>
      <w:pPr>
        <w:pStyle w:val="ListBullet"/>
      </w:pPr>
      <w:r>
        <w:t>The percent True metric that represents the amount of time for when the fault flag is True is high indicating temperature sensor error or the heating/cooling coils are leaking potentially creating simultenious heating/cooling which can be an energy penalty for running the AHU in this fashion. Verify AHU mix/supply temperature sensor calibration in addition to a potential mechanical issue of a leaking valve. A leaking valve can be troubleshot by isolating the valve closed by manual shut off valves where piping lines enter the AHU coil and then verifying any changes in the AHU discharge air temperature.</w:t>
      </w:r>
    </w:p>
    <w:p>
      <w:r>
        <w:rPr>
          <w:rStyle w:val="Emphasis"/>
        </w:rPr>
        <w:t>Report generated: Tue Apr 11 11:59:51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