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31.733333333333334</w:t>
      </w:r>
    </w:p>
    <w:p>
      <w:pPr>
        <w:pStyle w:val="ListBullet"/>
      </w:pPr>
      <w:r>
        <w:t>Percent of time in the dataset when the fault flag is True: 8.81%</w:t>
      </w:r>
    </w:p>
    <w:p>
      <w:pPr>
        <w:pStyle w:val="ListBullet"/>
      </w:pPr>
      <w:r>
        <w:t>Percent of time in the dataset when the fault flag is False: 91.19%</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65.0 in °F and the supply air temperature is 52.92 in °F.</w:t>
      </w:r>
    </w:p>
    <w:p>
      <w:pPr>
        <w:pStyle w:val="Heading1"/>
      </w:pPr>
      <w:r>
        <w:t>Summary Statistics filtered for when the AHU is running</w:t>
      </w:r>
    </w:p>
    <w:p>
      <w:pPr>
        <w:pStyle w:val="Heading3"/>
      </w:pPr>
      <w:r>
        <w:t>Supply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Mix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Thu Apr 27 09:38:18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