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Twelve Report</w:t>
      </w:r>
    </w:p>
    <w:p>
      <w:r>
        <w:t>Fault condition Twelve of ASHRAE Guideline 36 is an AHU economizer + mechanical cooling mode and AHU mechanical cooling mode only with an attempt at flagging conditions when the AHU mixing air temperature is warmer than the supply air temperature. Fault condition Twelve equation as defined by ASHRAE:</w:t>
      </w:r>
    </w:p>
    <w:p>
      <w:r>
        <w:drawing>
          <wp:inline xmlns:a="http://schemas.openxmlformats.org/drawingml/2006/main" xmlns:pic="http://schemas.openxmlformats.org/drawingml/2006/picture">
            <wp:extent cx="5486400" cy="1360035"/>
            <wp:docPr id="1" name="Picture 1"/>
            <wp:cNvGraphicFramePr>
              <a:graphicFrameLocks noChangeAspect="1"/>
            </wp:cNvGraphicFramePr>
            <a:graphic>
              <a:graphicData uri="http://schemas.openxmlformats.org/drawingml/2006/picture">
                <pic:pic>
                  <pic:nvPicPr>
                    <pic:cNvPr id="0" name="fc12_definition.png"/>
                    <pic:cNvPicPr/>
                  </pic:nvPicPr>
                  <pic:blipFill>
                    <a:blip r:embed="rId9"/>
                    <a:stretch>
                      <a:fillRect/>
                    </a:stretch>
                  </pic:blipFill>
                  <pic:spPr>
                    <a:xfrm>
                      <a:off x="0" y="0"/>
                      <a:ext cx="5486400" cy="1360035"/>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0.16666666666666666</w:t>
      </w:r>
    </w:p>
    <w:p>
      <w:pPr>
        <w:pStyle w:val="ListBullet"/>
      </w:pPr>
      <w:r>
        <w:t>Percent of time in the dataset when the fault flag is True: 0.03%</w:t>
      </w:r>
    </w:p>
    <w:p>
      <w:pPr>
        <w:pStyle w:val="ListBullet"/>
      </w:pPr>
      <w:r>
        <w:t>Percent of time in the dataset when the fault flag is False: 99.97%</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12 is True the average AHU mix air is 57.21 in °F and the supply air temperature is 68.76 in °F.</w:t>
      </w:r>
    </w:p>
    <w:p>
      <w:pPr>
        <w:pStyle w:val="Heading1"/>
      </w:pPr>
      <w:r>
        <w:t>Summary Statistics filtered for when the AHU is running</w:t>
      </w:r>
    </w:p>
    <w:p>
      <w:pPr>
        <w:pStyle w:val="Heading3"/>
      </w:pPr>
      <w:r>
        <w:t>Supply Air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3"/>
      </w:pPr>
      <w:r>
        <w:t>Mix Air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Thu Apr 27 09:40:33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