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C9E" w14:textId="29F553F6" w:rsidR="00075FBB" w:rsidRPr="00962093" w:rsidRDefault="0075522C" w:rsidP="0075522C">
      <w:pPr>
        <w:pStyle w:val="Ttulo1"/>
        <w:jc w:val="center"/>
        <w:rPr>
          <w:rFonts w:ascii="Cambria" w:hAnsi="Cambria" w:cstheme="majorHAnsi"/>
          <w:b/>
          <w:bCs/>
        </w:rPr>
      </w:pPr>
      <w:r w:rsidRPr="00962093">
        <w:rPr>
          <w:rFonts w:ascii="Cambria" w:hAnsi="Cambria" w:cstheme="majorHAnsi"/>
          <w:b/>
          <w:bCs/>
        </w:rPr>
        <w:t>PLAN DE PRUEBAS DEL PROYECTO INTEGRADO</w:t>
      </w:r>
    </w:p>
    <w:p w14:paraId="43A2D717" w14:textId="59225536" w:rsidR="0075522C" w:rsidRDefault="0075522C" w:rsidP="0075522C"/>
    <w:p w14:paraId="1B0A6B65" w14:textId="77777777" w:rsidR="0075522C" w:rsidRDefault="0075522C" w:rsidP="0075522C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79C6B5FD" w14:textId="197FDD21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</w:t>
      </w:r>
      <w:r w:rsidRPr="00A97DEE">
        <w:t>aceptación</w:t>
      </w:r>
      <w:r>
        <w:t>. Las pruebas de aceptación se definirán siguiendo una estrategia basada en casos de uso y se ejecutarán de forma manual.</w:t>
      </w:r>
    </w:p>
    <w:p w14:paraId="59414B87" w14:textId="0280242D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integración: Estas pruebas tratan de verificar la interacción entre diferentes clases del proyecto. Se llevarán a cabo usando el </w:t>
      </w:r>
      <w:proofErr w:type="spellStart"/>
      <w:r>
        <w:t>framework</w:t>
      </w:r>
      <w:proofErr w:type="spellEnd"/>
      <w:r>
        <w:t xml:space="preserve"> J</w:t>
      </w:r>
      <w:r w:rsidR="00F10F28">
        <w:t>u</w:t>
      </w:r>
      <w:r>
        <w:t>nit</w:t>
      </w:r>
      <w:r w:rsidR="00F10F28">
        <w:t>.</w:t>
      </w:r>
    </w:p>
    <w:p w14:paraId="38FB5D19" w14:textId="0A8C00CC" w:rsidR="0075522C" w:rsidRDefault="0075522C" w:rsidP="0075522C">
      <w:pPr>
        <w:pStyle w:val="Prrafodelista"/>
        <w:numPr>
          <w:ilvl w:val="0"/>
          <w:numId w:val="1"/>
        </w:numPr>
        <w:jc w:val="both"/>
      </w:pPr>
      <w:r>
        <w:t xml:space="preserve">Pruebas de interfaz de usuario (UI </w:t>
      </w:r>
      <w:proofErr w:type="spellStart"/>
      <w:r>
        <w:t>Tests</w:t>
      </w:r>
      <w:proofErr w:type="spellEnd"/>
      <w:r>
        <w:t xml:space="preserve">): Estas pruebas se pueden ver cómo el nivel más avanzado de las pruebas de integración, cuando se prueban todos los componentes de la aplicación de manera conjunta. Se llevarán a cabo usando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>.</w:t>
      </w:r>
    </w:p>
    <w:p w14:paraId="38075339" w14:textId="194E23CA" w:rsidR="00962093" w:rsidRDefault="00962093" w:rsidP="00962093">
      <w:pPr>
        <w:jc w:val="both"/>
      </w:pPr>
    </w:p>
    <w:p w14:paraId="6C44AD25" w14:textId="77777777" w:rsidR="00962093" w:rsidRPr="00962093" w:rsidRDefault="00962093" w:rsidP="00962093">
      <w:pPr>
        <w:jc w:val="both"/>
        <w:rPr>
          <w:rFonts w:ascii="Calibri" w:hAnsi="Calibri" w:cs="Calibri"/>
        </w:rPr>
      </w:pPr>
      <w:r w:rsidRPr="00962093">
        <w:rPr>
          <w:rFonts w:ascii="Calibri" w:hAnsi="Calibri" w:cs="Calibri"/>
        </w:rPr>
        <w:t>A continuación, se muestra una especificación detallada de los casos de prueba a aplicar en cada nivel mencionado anteriormente.</w:t>
      </w:r>
    </w:p>
    <w:p w14:paraId="65BFBD32" w14:textId="0F9F98C5" w:rsidR="00962093" w:rsidRDefault="00962093" w:rsidP="00962093">
      <w:pPr>
        <w:jc w:val="both"/>
      </w:pPr>
    </w:p>
    <w:p w14:paraId="78B46427" w14:textId="62D20597" w:rsidR="00962093" w:rsidRDefault="00962093" w:rsidP="00962093">
      <w:pPr>
        <w:jc w:val="both"/>
        <w:rPr>
          <w:rFonts w:ascii="Calibri" w:hAnsi="Calibri" w:cs="Calibri"/>
          <w:b/>
          <w:bCs/>
        </w:rPr>
      </w:pPr>
      <w:r w:rsidRPr="00962093">
        <w:rPr>
          <w:b/>
          <w:bCs/>
        </w:rPr>
        <w:t>PRUEBAS DE ACEPTACIÓN</w:t>
      </w:r>
    </w:p>
    <w:p w14:paraId="2E2D6552" w14:textId="5AA9398A" w:rsidR="00962093" w:rsidRDefault="0069267E" w:rsidP="009620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</w:t>
      </w:r>
      <w:r w:rsidR="0072395D">
        <w:rPr>
          <w:rFonts w:ascii="Calibri" w:hAnsi="Calibri" w:cs="Calibri"/>
        </w:rPr>
        <w:t xml:space="preserve"> identifican los siguientes escenarios:</w:t>
      </w:r>
    </w:p>
    <w:p w14:paraId="247A6F40" w14:textId="7807B7C9" w:rsidR="00F10F28" w:rsidRDefault="00F10F28" w:rsidP="00F10F2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A1. AC: Mostrar lista</w:t>
      </w:r>
    </w:p>
    <w:p w14:paraId="4FB96CF9" w14:textId="77777777" w:rsidR="00F10F28" w:rsidRDefault="00F10F28" w:rsidP="00F10F28">
      <w:pPr>
        <w:pStyle w:val="Prrafodelista"/>
        <w:numPr>
          <w:ilvl w:val="0"/>
          <w:numId w:val="8"/>
        </w:numPr>
        <w:jc w:val="both"/>
        <w:rPr>
          <w:rFonts w:cs="Calibri"/>
        </w:rPr>
      </w:pPr>
      <w:r w:rsidRPr="00F10F28">
        <w:rPr>
          <w:rFonts w:cs="Calibri"/>
        </w:rPr>
        <w:t>Lista correcta (se muestra una lista de gasolineras)</w:t>
      </w:r>
    </w:p>
    <w:p w14:paraId="77748873" w14:textId="3891C5C5" w:rsidR="00F10F28" w:rsidRDefault="00F10F28" w:rsidP="00F10F28">
      <w:pPr>
        <w:pStyle w:val="Prrafodelista"/>
        <w:numPr>
          <w:ilvl w:val="0"/>
          <w:numId w:val="8"/>
        </w:numPr>
        <w:jc w:val="both"/>
        <w:rPr>
          <w:rFonts w:cs="Calibri"/>
        </w:rPr>
      </w:pPr>
      <w:r w:rsidRPr="00F10F28">
        <w:rPr>
          <w:rFonts w:cs="Calibri"/>
        </w:rPr>
        <w:t>Lista incorrecta (no se muestra ninguna lista)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F10F28" w14:paraId="528FA75B" w14:textId="77777777" w:rsidTr="00F10F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EAF8" w14:textId="77777777" w:rsidR="00F10F28" w:rsidRDefault="00F10F28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081C" w14:textId="77777777" w:rsidR="00F10F28" w:rsidRDefault="00F10F28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CFC0" w14:textId="77777777" w:rsidR="00F10F28" w:rsidRDefault="00F10F28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10F28" w14:paraId="3B549111" w14:textId="77777777" w:rsidTr="00F10F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2725" w14:textId="77777777" w:rsidR="00F10F28" w:rsidRDefault="00F10F28">
            <w:r>
              <w:t>A1.a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B585" w14:textId="5C49EA28" w:rsidR="00F10F28" w:rsidRDefault="00B26FE7">
            <w:r>
              <w:t>Lista&lt;Gasolinera&gt; ¿??????????????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8B8F" w14:textId="63A9E866" w:rsidR="00F10F28" w:rsidRDefault="00B26FE7">
            <w:r>
              <w:t>Lista correcta</w:t>
            </w:r>
          </w:p>
        </w:tc>
      </w:tr>
      <w:tr w:rsidR="00F10F28" w14:paraId="4A4AAC0B" w14:textId="77777777" w:rsidTr="00F10F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01C8" w14:textId="77777777" w:rsidR="00F10F28" w:rsidRDefault="00F10F28">
            <w:r>
              <w:t>A</w:t>
            </w:r>
            <w:proofErr w:type="gramStart"/>
            <w:r>
              <w:t>1.b</w:t>
            </w:r>
            <w:proofErr w:type="gramEnd"/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2FDE" w14:textId="77777777" w:rsidR="00F10F28" w:rsidRDefault="00F10F28">
            <w:r>
              <w:t>Alba Muñiz Revuelta, 11111111A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4C29" w14:textId="46B5621F" w:rsidR="00F10F28" w:rsidRDefault="00B26FE7">
            <w:r>
              <w:t>Lista incorrecta</w:t>
            </w:r>
          </w:p>
        </w:tc>
      </w:tr>
    </w:tbl>
    <w:p w14:paraId="7938121C" w14:textId="305152CF" w:rsidR="00F10F28" w:rsidRDefault="00F10F28" w:rsidP="00F10F28">
      <w:pPr>
        <w:jc w:val="both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ab/>
      </w:r>
    </w:p>
    <w:p w14:paraId="3AE28BE4" w14:textId="19DFF6CF" w:rsidR="00F10F28" w:rsidRPr="00F10F28" w:rsidRDefault="00F10F28" w:rsidP="00F10F28">
      <w:pPr>
        <w:jc w:val="center"/>
        <w:rPr>
          <w:rFonts w:cs="Calibri"/>
          <w:sz w:val="18"/>
          <w:szCs w:val="18"/>
        </w:rPr>
      </w:pP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Tabla </w:t>
      </w:r>
      <w:r w:rsidR="00E468C5">
        <w:rPr>
          <w:rFonts w:ascii="Cambria" w:hAnsi="Cambria"/>
          <w:b/>
          <w:bCs/>
          <w:color w:val="2E74B5" w:themeColor="accent5" w:themeShade="BF"/>
          <w:sz w:val="18"/>
          <w:szCs w:val="18"/>
        </w:rPr>
        <w:t>1</w:t>
      </w: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. Casos de prueba </w:t>
      </w:r>
      <w:r w:rsidR="00282714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de aceptación </w:t>
      </w:r>
    </w:p>
    <w:p w14:paraId="76CF7A1A" w14:textId="77777777" w:rsidR="00F10F28" w:rsidRDefault="00F10F28" w:rsidP="00F10F2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ED4D4A0" w14:textId="15EDC7EF" w:rsidR="00E46A78" w:rsidRDefault="00E46A78" w:rsidP="00E46A78"/>
    <w:p w14:paraId="272033B5" w14:textId="77777777" w:rsidR="00575110" w:rsidRDefault="00575110" w:rsidP="00E46A78">
      <w:pPr>
        <w:rPr>
          <w:b/>
          <w:bCs/>
        </w:rPr>
      </w:pPr>
    </w:p>
    <w:p w14:paraId="6A814545" w14:textId="42AAA246" w:rsidR="00E46A78" w:rsidRDefault="00E46A78" w:rsidP="00E46A78">
      <w:pPr>
        <w:rPr>
          <w:b/>
          <w:bCs/>
        </w:rPr>
      </w:pPr>
      <w:r w:rsidRPr="00E46A78">
        <w:rPr>
          <w:b/>
          <w:bCs/>
        </w:rPr>
        <w:t>PRUEBAS DE INTERFAZ DE USUARIO</w:t>
      </w:r>
    </w:p>
    <w:p w14:paraId="5F79BEC1" w14:textId="77777777" w:rsidR="00D201D0" w:rsidRDefault="00D201D0" w:rsidP="00D201D0">
      <w:r w:rsidRPr="00E94659">
        <w:t>El orden de las pruebas y los casos de prueba a realizar sería</w:t>
      </w:r>
      <w:r>
        <w:t xml:space="preserve"> el siguiente</w:t>
      </w:r>
      <w:r w:rsidRPr="00E94659">
        <w:t xml:space="preserve">: </w:t>
      </w:r>
    </w:p>
    <w:p w14:paraId="56951001" w14:textId="5C47A703" w:rsidR="007A7C72" w:rsidRDefault="00D201D0" w:rsidP="00D201D0">
      <w:pPr>
        <w:pStyle w:val="Prrafodelista"/>
        <w:numPr>
          <w:ilvl w:val="0"/>
          <w:numId w:val="13"/>
        </w:numPr>
        <w:jc w:val="both"/>
        <w:rPr>
          <w:rFonts w:cs="Calibri"/>
        </w:rPr>
      </w:pPr>
      <w:proofErr w:type="gramStart"/>
      <w:r>
        <w:rPr>
          <w:rFonts w:cs="Calibri"/>
        </w:rPr>
        <w:t>ITIU.1a :</w:t>
      </w:r>
      <w:proofErr w:type="gramEnd"/>
      <w:r>
        <w:rPr>
          <w:rFonts w:cs="Calibri"/>
        </w:rPr>
        <w:t xml:space="preserve"> Comprobación de que los elementos de </w:t>
      </w:r>
      <w:proofErr w:type="spellStart"/>
      <w:r>
        <w:rPr>
          <w:rFonts w:cs="Calibri"/>
        </w:rPr>
        <w:t>background</w:t>
      </w:r>
      <w:proofErr w:type="spellEnd"/>
      <w:r>
        <w:rPr>
          <w:rFonts w:cs="Calibri"/>
        </w:rPr>
        <w:t xml:space="preserve"> </w:t>
      </w:r>
      <w:r w:rsidR="00E468C5">
        <w:rPr>
          <w:rFonts w:cs="Calibri"/>
        </w:rPr>
        <w:t xml:space="preserve">color </w:t>
      </w:r>
      <w:r>
        <w:rPr>
          <w:rFonts w:cs="Calibri"/>
        </w:rPr>
        <w:t xml:space="preserve">de cada gasolinera </w:t>
      </w:r>
      <w:r w:rsidR="00B26FE7">
        <w:rPr>
          <w:rFonts w:cs="Calibri"/>
        </w:rPr>
        <w:t xml:space="preserve">en la </w:t>
      </w:r>
      <w:proofErr w:type="spellStart"/>
      <w:r w:rsidR="00B26FE7">
        <w:rPr>
          <w:rFonts w:cs="Calibri"/>
        </w:rPr>
        <w:t>listView</w:t>
      </w:r>
      <w:proofErr w:type="spellEnd"/>
      <w:r w:rsidR="00B26FE7">
        <w:rPr>
          <w:rFonts w:cs="Calibri"/>
        </w:rPr>
        <w:t xml:space="preserve"> de gasolineras de la interfaz </w:t>
      </w:r>
      <w:proofErr w:type="spellStart"/>
      <w:r w:rsidR="00B26FE7">
        <w:rPr>
          <w:rFonts w:cs="Calibri"/>
        </w:rPr>
        <w:t>MainActivity</w:t>
      </w:r>
      <w:proofErr w:type="spellEnd"/>
      <w:r w:rsidR="00B26FE7">
        <w:rPr>
          <w:rFonts w:cs="Calibri"/>
        </w:rPr>
        <w:t xml:space="preserve"> </w:t>
      </w:r>
      <w:r w:rsidR="00E468C5">
        <w:rPr>
          <w:rFonts w:cs="Calibri"/>
        </w:rPr>
        <w:t>son</w:t>
      </w:r>
      <w:r w:rsidR="00B26FE7">
        <w:rPr>
          <w:rFonts w:cs="Calibri"/>
        </w:rPr>
        <w:t xml:space="preserve"> del color esperado cuando haya descuento.</w:t>
      </w:r>
    </w:p>
    <w:p w14:paraId="54BDD818" w14:textId="20A05A08" w:rsidR="00B26FE7" w:rsidRDefault="00B26FE7" w:rsidP="00B26FE7">
      <w:pPr>
        <w:pStyle w:val="Prrafodelista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</w:rPr>
        <w:t>ITIU.1</w:t>
      </w:r>
      <w:proofErr w:type="gramStart"/>
      <w:r>
        <w:rPr>
          <w:rFonts w:cs="Calibri"/>
        </w:rPr>
        <w:t>b :</w:t>
      </w:r>
      <w:proofErr w:type="gramEnd"/>
      <w:r>
        <w:rPr>
          <w:rFonts w:cs="Calibri"/>
        </w:rPr>
        <w:t xml:space="preserve"> Comprobación de que los elementos </w:t>
      </w:r>
      <w:r w:rsidR="00575110">
        <w:rPr>
          <w:rFonts w:cs="Calibri"/>
        </w:rPr>
        <w:t>de color</w:t>
      </w:r>
      <w:r w:rsidR="00E468C5">
        <w:rPr>
          <w:rFonts w:cs="Calibri"/>
        </w:rPr>
        <w:t xml:space="preserve"> de fuente </w:t>
      </w:r>
      <w:r>
        <w:rPr>
          <w:rFonts w:cs="Calibri"/>
        </w:rPr>
        <w:t>de</w:t>
      </w:r>
      <w:r w:rsidR="00E468C5">
        <w:rPr>
          <w:rFonts w:cs="Calibri"/>
        </w:rPr>
        <w:t>l precio de</w:t>
      </w:r>
      <w:r>
        <w:rPr>
          <w:rFonts w:cs="Calibri"/>
        </w:rPr>
        <w:t xml:space="preserve"> cada </w:t>
      </w:r>
      <w:r w:rsidR="00575110">
        <w:rPr>
          <w:rFonts w:cs="Calibri"/>
        </w:rPr>
        <w:t xml:space="preserve">tipo de gasolina de cada </w:t>
      </w:r>
      <w:r>
        <w:rPr>
          <w:rFonts w:cs="Calibri"/>
        </w:rPr>
        <w:t xml:space="preserve">gasolinera </w:t>
      </w:r>
      <w:r w:rsidR="00E468C5">
        <w:rPr>
          <w:rFonts w:cs="Calibri"/>
        </w:rPr>
        <w:t>de</w:t>
      </w:r>
      <w:r>
        <w:rPr>
          <w:rFonts w:cs="Calibri"/>
        </w:rPr>
        <w:t xml:space="preserve"> la </w:t>
      </w:r>
      <w:proofErr w:type="spellStart"/>
      <w:r>
        <w:rPr>
          <w:rFonts w:cs="Calibri"/>
        </w:rPr>
        <w:t>listView</w:t>
      </w:r>
      <w:proofErr w:type="spellEnd"/>
      <w:r>
        <w:rPr>
          <w:rFonts w:cs="Calibri"/>
        </w:rPr>
        <w:t xml:space="preserve"> de gasolineras de la interfaz </w:t>
      </w:r>
      <w:proofErr w:type="spellStart"/>
      <w:r>
        <w:rPr>
          <w:rFonts w:cs="Calibri"/>
        </w:rPr>
        <w:t>MainActivity</w:t>
      </w:r>
      <w:proofErr w:type="spellEnd"/>
      <w:r>
        <w:rPr>
          <w:rFonts w:cs="Calibri"/>
        </w:rPr>
        <w:t xml:space="preserve"> </w:t>
      </w:r>
      <w:r w:rsidR="00E468C5">
        <w:rPr>
          <w:rFonts w:cs="Calibri"/>
        </w:rPr>
        <w:t xml:space="preserve">son del valor </w:t>
      </w:r>
      <w:r>
        <w:rPr>
          <w:rFonts w:cs="Calibri"/>
        </w:rPr>
        <w:t>esperado cuando haya descuento.</w:t>
      </w:r>
    </w:p>
    <w:p w14:paraId="592A27A7" w14:textId="77777777" w:rsidR="00B26FE7" w:rsidRPr="00D201D0" w:rsidRDefault="00B26FE7" w:rsidP="00B26FE7">
      <w:pPr>
        <w:pStyle w:val="Prrafodelista"/>
        <w:jc w:val="both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1D0" w14:paraId="79B42C6A" w14:textId="77777777" w:rsidTr="00D47EB0">
        <w:trPr>
          <w:jc w:val="center"/>
        </w:trPr>
        <w:tc>
          <w:tcPr>
            <w:tcW w:w="2831" w:type="dxa"/>
          </w:tcPr>
          <w:p w14:paraId="1273C198" w14:textId="77777777" w:rsidR="00D201D0" w:rsidRDefault="00D201D0" w:rsidP="00D47E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Identificador</w:t>
            </w:r>
          </w:p>
        </w:tc>
        <w:tc>
          <w:tcPr>
            <w:tcW w:w="2831" w:type="dxa"/>
          </w:tcPr>
          <w:p w14:paraId="7DD6A7A7" w14:textId="77777777" w:rsidR="00D201D0" w:rsidRDefault="00D201D0" w:rsidP="00D47E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Entrada</w:t>
            </w:r>
          </w:p>
        </w:tc>
        <w:tc>
          <w:tcPr>
            <w:tcW w:w="2832" w:type="dxa"/>
          </w:tcPr>
          <w:p w14:paraId="2EEA9DCA" w14:textId="77777777" w:rsidR="00D201D0" w:rsidRDefault="00D201D0" w:rsidP="00D47E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Valor esperado</w:t>
            </w:r>
          </w:p>
        </w:tc>
      </w:tr>
      <w:tr w:rsidR="00D201D0" w14:paraId="43F404AE" w14:textId="77777777" w:rsidTr="00D47EB0">
        <w:trPr>
          <w:jc w:val="center"/>
        </w:trPr>
        <w:tc>
          <w:tcPr>
            <w:tcW w:w="2831" w:type="dxa"/>
          </w:tcPr>
          <w:p w14:paraId="1018DD24" w14:textId="205B2676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ITIU.1a</w:t>
            </w:r>
          </w:p>
        </w:tc>
        <w:tc>
          <w:tcPr>
            <w:tcW w:w="2831" w:type="dxa"/>
          </w:tcPr>
          <w:p w14:paraId="24E860A8" w14:textId="77777777" w:rsidR="00D201D0" w:rsidRDefault="00D201D0" w:rsidP="00D47EB0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01D0D7D0" w14:textId="306AE99F" w:rsidR="00D201D0" w:rsidRDefault="00D201D0" w:rsidP="00D47EB0">
            <w:pPr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Layout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background</w:t>
            </w:r>
            <w:proofErr w:type="spellEnd"/>
            <w:r>
              <w:rPr>
                <w:rFonts w:cs="Calibri"/>
              </w:rPr>
              <w:t xml:space="preserve"> color con color </w:t>
            </w:r>
            <w:r w:rsidR="00575110">
              <w:rPr>
                <w:rFonts w:cs="Calibri"/>
              </w:rPr>
              <w:t>amarillo</w:t>
            </w:r>
          </w:p>
        </w:tc>
      </w:tr>
      <w:tr w:rsidR="00D201D0" w14:paraId="7E507DE6" w14:textId="77777777" w:rsidTr="00D47EB0">
        <w:trPr>
          <w:jc w:val="center"/>
        </w:trPr>
        <w:tc>
          <w:tcPr>
            <w:tcW w:w="2831" w:type="dxa"/>
          </w:tcPr>
          <w:p w14:paraId="56529E89" w14:textId="710B50EE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ITIU.1b</w:t>
            </w:r>
          </w:p>
        </w:tc>
        <w:tc>
          <w:tcPr>
            <w:tcW w:w="2831" w:type="dxa"/>
          </w:tcPr>
          <w:p w14:paraId="3A98E355" w14:textId="77777777" w:rsidR="00D201D0" w:rsidRDefault="00D201D0" w:rsidP="00D47EB0">
            <w:pPr>
              <w:jc w:val="both"/>
              <w:rPr>
                <w:rFonts w:cs="Calibri"/>
              </w:rPr>
            </w:pPr>
          </w:p>
        </w:tc>
        <w:tc>
          <w:tcPr>
            <w:tcW w:w="2832" w:type="dxa"/>
          </w:tcPr>
          <w:p w14:paraId="16560D7F" w14:textId="51F7E6A7" w:rsidR="00D201D0" w:rsidRDefault="00D201D0" w:rsidP="00D47EB0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Precio del tipo de combustible de cada elemento de la </w:t>
            </w:r>
            <w:proofErr w:type="spellStart"/>
            <w:r>
              <w:rPr>
                <w:rFonts w:cs="Calibri"/>
              </w:rPr>
              <w:t>listview</w:t>
            </w:r>
            <w:proofErr w:type="spellEnd"/>
            <w:r>
              <w:rPr>
                <w:rFonts w:cs="Calibri"/>
              </w:rPr>
              <w:t xml:space="preserve"> en negrita y con un tamaño de X.</w:t>
            </w:r>
          </w:p>
        </w:tc>
      </w:tr>
    </w:tbl>
    <w:p w14:paraId="793F2246" w14:textId="2E72129F" w:rsidR="0075522C" w:rsidRDefault="0075522C" w:rsidP="0075522C">
      <w:pPr>
        <w:jc w:val="both"/>
      </w:pPr>
    </w:p>
    <w:p w14:paraId="014D56AE" w14:textId="03C23866" w:rsidR="00282714" w:rsidRPr="00F10F28" w:rsidRDefault="00282714" w:rsidP="00282714">
      <w:pPr>
        <w:jc w:val="center"/>
        <w:rPr>
          <w:rFonts w:cs="Calibri"/>
          <w:sz w:val="18"/>
          <w:szCs w:val="18"/>
        </w:rPr>
      </w:pP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Tabla </w:t>
      </w:r>
      <w:r>
        <w:rPr>
          <w:rFonts w:ascii="Cambria" w:hAnsi="Cambria"/>
          <w:b/>
          <w:bCs/>
          <w:color w:val="2E74B5" w:themeColor="accent5" w:themeShade="BF"/>
          <w:sz w:val="18"/>
          <w:szCs w:val="18"/>
        </w:rPr>
        <w:t>2</w:t>
      </w:r>
      <w:r w:rsidRPr="00F10F28">
        <w:rPr>
          <w:rFonts w:ascii="Cambria" w:hAnsi="Cambria"/>
          <w:b/>
          <w:bCs/>
          <w:color w:val="2E74B5" w:themeColor="accent5" w:themeShade="BF"/>
          <w:sz w:val="18"/>
          <w:szCs w:val="18"/>
        </w:rPr>
        <w:t xml:space="preserve">. Casos de prueba </w:t>
      </w:r>
      <w:r>
        <w:rPr>
          <w:rFonts w:ascii="Cambria" w:hAnsi="Cambria"/>
          <w:b/>
          <w:bCs/>
          <w:color w:val="2E74B5" w:themeColor="accent5" w:themeShade="BF"/>
          <w:sz w:val="18"/>
          <w:szCs w:val="18"/>
        </w:rPr>
        <w:t>de interfaz de usuario</w:t>
      </w:r>
    </w:p>
    <w:p w14:paraId="69411847" w14:textId="77777777" w:rsidR="00282714" w:rsidRDefault="00282714" w:rsidP="0075522C">
      <w:pPr>
        <w:jc w:val="both"/>
      </w:pPr>
    </w:p>
    <w:p w14:paraId="5952F7C1" w14:textId="10913E26" w:rsidR="0075522C" w:rsidRDefault="0075522C" w:rsidP="0075522C">
      <w:pPr>
        <w:pStyle w:val="Prrafodelista"/>
        <w:jc w:val="both"/>
      </w:pPr>
    </w:p>
    <w:sectPr w:rsidR="0075522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C2138" w14:textId="77777777" w:rsidR="00EE1354" w:rsidRDefault="00EE1354" w:rsidP="0075522C">
      <w:pPr>
        <w:spacing w:after="0" w:line="240" w:lineRule="auto"/>
      </w:pPr>
      <w:r>
        <w:separator/>
      </w:r>
    </w:p>
  </w:endnote>
  <w:endnote w:type="continuationSeparator" w:id="0">
    <w:p w14:paraId="791F86D4" w14:textId="77777777" w:rsidR="00EE1354" w:rsidRDefault="00EE1354" w:rsidP="0075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A4581" w14:textId="77777777" w:rsidR="00962093" w:rsidRDefault="0096209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2A73F4F" w14:textId="77777777" w:rsidR="00962093" w:rsidRDefault="009620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43765" w14:textId="77777777" w:rsidR="00EE1354" w:rsidRDefault="00EE1354" w:rsidP="0075522C">
      <w:pPr>
        <w:spacing w:after="0" w:line="240" w:lineRule="auto"/>
      </w:pPr>
      <w:r>
        <w:separator/>
      </w:r>
    </w:p>
  </w:footnote>
  <w:footnote w:type="continuationSeparator" w:id="0">
    <w:p w14:paraId="26D3E3BC" w14:textId="77777777" w:rsidR="00EE1354" w:rsidRDefault="00EE1354" w:rsidP="0075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BA49" w14:textId="70AF7369" w:rsidR="0075522C" w:rsidRPr="0075522C" w:rsidRDefault="00962093">
    <w:pPr>
      <w:pStyle w:val="Encabezado"/>
    </w:pPr>
    <w:r>
      <w:ptab w:relativeTo="margin" w:alignment="center" w:leader="none"/>
    </w:r>
    <w:r w:rsidR="0075522C" w:rsidRPr="0075522C">
      <w:t>Proyecto integrado      4 I</w:t>
    </w:r>
    <w:r w:rsidR="0075522C">
      <w:t>ngeniería informática</w:t>
    </w:r>
  </w:p>
  <w:p w14:paraId="77A0AA29" w14:textId="15EB72CA" w:rsidR="0075522C" w:rsidRPr="0075522C" w:rsidRDefault="00962093">
    <w:pPr>
      <w:pStyle w:val="Encabezado"/>
    </w:pPr>
    <w:r>
      <w:ptab w:relativeTo="margin" w:alignment="center" w:leader="none"/>
    </w:r>
    <w:r w:rsidR="0075522C" w:rsidRPr="0075522C">
      <w:t>Facultad de Ciencias</w:t>
    </w:r>
    <w:r w:rsidR="0075522C">
      <w:t xml:space="preserve">    Universidad de Cantabria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17B"/>
    <w:multiLevelType w:val="hybridMultilevel"/>
    <w:tmpl w:val="CE924DDC"/>
    <w:lvl w:ilvl="0" w:tplc="9D78AD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A59BE"/>
    <w:multiLevelType w:val="hybridMultilevel"/>
    <w:tmpl w:val="2A92A8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732EA"/>
    <w:multiLevelType w:val="hybridMultilevel"/>
    <w:tmpl w:val="D03C4C8C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2F52A95"/>
    <w:multiLevelType w:val="hybridMultilevel"/>
    <w:tmpl w:val="AE6A84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0F7E31"/>
    <w:multiLevelType w:val="hybridMultilevel"/>
    <w:tmpl w:val="37E268E2"/>
    <w:lvl w:ilvl="0" w:tplc="577C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51AF4"/>
    <w:multiLevelType w:val="hybridMultilevel"/>
    <w:tmpl w:val="D9F8A3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C2936"/>
    <w:multiLevelType w:val="hybridMultilevel"/>
    <w:tmpl w:val="5E52DDD2"/>
    <w:lvl w:ilvl="0" w:tplc="577C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B85"/>
    <w:multiLevelType w:val="hybridMultilevel"/>
    <w:tmpl w:val="72BC2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2C"/>
    <w:rsid w:val="00096F6A"/>
    <w:rsid w:val="000F0C11"/>
    <w:rsid w:val="00112BCC"/>
    <w:rsid w:val="0013486C"/>
    <w:rsid w:val="0020143B"/>
    <w:rsid w:val="002769F2"/>
    <w:rsid w:val="00282714"/>
    <w:rsid w:val="0028388B"/>
    <w:rsid w:val="003E446B"/>
    <w:rsid w:val="004F1573"/>
    <w:rsid w:val="00531035"/>
    <w:rsid w:val="00575110"/>
    <w:rsid w:val="0069267E"/>
    <w:rsid w:val="0072395D"/>
    <w:rsid w:val="007249D8"/>
    <w:rsid w:val="0075522C"/>
    <w:rsid w:val="00773493"/>
    <w:rsid w:val="00794C75"/>
    <w:rsid w:val="007A7C72"/>
    <w:rsid w:val="007D1B88"/>
    <w:rsid w:val="00876AA3"/>
    <w:rsid w:val="00907371"/>
    <w:rsid w:val="00940672"/>
    <w:rsid w:val="00962093"/>
    <w:rsid w:val="00962098"/>
    <w:rsid w:val="00AA4CD0"/>
    <w:rsid w:val="00AE355C"/>
    <w:rsid w:val="00B17D89"/>
    <w:rsid w:val="00B26FE7"/>
    <w:rsid w:val="00D201D0"/>
    <w:rsid w:val="00E269CC"/>
    <w:rsid w:val="00E468C5"/>
    <w:rsid w:val="00E46A78"/>
    <w:rsid w:val="00E47A40"/>
    <w:rsid w:val="00EE1354"/>
    <w:rsid w:val="00F0004E"/>
    <w:rsid w:val="00F10F28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1CFF9"/>
  <w15:chartTrackingRefBased/>
  <w15:docId w15:val="{669E766B-E461-49E4-8CE1-DB744512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522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55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22C"/>
  </w:style>
  <w:style w:type="paragraph" w:styleId="Piedepgina">
    <w:name w:val="footer"/>
    <w:basedOn w:val="Normal"/>
    <w:link w:val="PiedepginaCar"/>
    <w:uiPriority w:val="99"/>
    <w:unhideWhenUsed/>
    <w:rsid w:val="00755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22C"/>
  </w:style>
  <w:style w:type="table" w:styleId="Tablaconcuadrcula">
    <w:name w:val="Table Grid"/>
    <w:basedOn w:val="Tablanormal"/>
    <w:uiPriority w:val="59"/>
    <w:rsid w:val="007A7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A7C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20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9FE2-E3D4-4CD9-90EB-41A8A047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martinez</dc:creator>
  <cp:keywords/>
  <dc:description/>
  <cp:lastModifiedBy>CASAMICHANA BOLADO, MIGUEL</cp:lastModifiedBy>
  <cp:revision>24</cp:revision>
  <dcterms:created xsi:type="dcterms:W3CDTF">2020-10-31T12:59:00Z</dcterms:created>
  <dcterms:modified xsi:type="dcterms:W3CDTF">2020-11-05T17:18:00Z</dcterms:modified>
</cp:coreProperties>
</file>