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center"/>
      </w:pPr>
      <w:r>
        <w:rPr>
          <w:rFonts w:ascii="Times New Roman" w:cs="Times New Roman" w:eastAsia="Times New Roman" w:hAnsi="Times New Roman"/>
          <w:b/>
          <w:bCs/>
          <w:i w:val="false"/>
          <w:iCs w:val="false"/>
          <w:sz w:val="24"/>
          <w:szCs w:val="24"/>
        </w:rPr>
        <w:t xml:space="preserve">BHARATI VIDYAPEETH (DEEMED TO BE UNIVERSITY)</w:t>
      </w:r>
    </w:p>
    <w:p>
      <w:pPr>
        <w:spacing w:after="160" w:before="60" w:line="240" w:lineRule="auto"/>
        <w:jc w:val="center"/>
      </w:pPr>
      <w:r>
        <w:drawing>
          <wp:inline distT="0" distB="0" distL="0" distR="0">
            <wp:extent cx="10668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76325"/>
                    </a:xfrm>
                    <a:prstGeom prst="rect">
                      <a:avLst/>
                    </a:prstGeom>
                  </pic:spPr>
                </pic:pic>
              </a:graphicData>
            </a:graphic>
          </wp:inline>
        </w:drawing>
      </w:r>
    </w:p>
    <w:p>
      <w:pPr>
        <w:spacing w:after="100" w:before="0" w:line="240"/>
        <w:jc w:val="center"/>
      </w:pPr>
      <w:r>
        <w:rPr>
          <w:rFonts w:ascii="Times New Roman" w:cs="Times New Roman" w:eastAsia="Times New Roman" w:hAnsi="Times New Roman"/>
          <w:b/>
          <w:bCs/>
          <w:i w:val="false"/>
          <w:iCs w:val="false"/>
          <w:sz w:val="24"/>
          <w:szCs w:val="24"/>
        </w:rPr>
        <w:t xml:space="preserve">DEPARTMENT OF ENGINEERING &amp; TECHNOLOGY</w:t>
      </w:r>
    </w:p>
    <w:p>
      <w:pPr>
        <w:spacing w:after="160" w:before="0" w:line="240"/>
        <w:jc w:val="center"/>
      </w:pPr>
      <w:r>
        <w:rPr>
          <w:rFonts w:ascii="Times New Roman" w:cs="Times New Roman" w:eastAsia="Times New Roman" w:hAnsi="Times New Roman"/>
          <w:b/>
          <w:bCs/>
          <w:i w:val="false"/>
          <w:iCs w:val="false"/>
          <w:sz w:val="24"/>
          <w:szCs w:val="24"/>
        </w:rPr>
        <w:t xml:space="preserve">KHARGHAR, NAVI MUMBAI</w:t>
      </w:r>
    </w:p>
    <w:p>
      <w:pPr>
        <w:spacing w:after="170" w:before="60" w:line="240" w:lineRule="auto"/>
        <w:jc w:val="center"/>
      </w:pPr>
      <w:r>
        <w:drawing>
          <wp:inline distT="0" distB="0" distL="0" distR="0">
            <wp:extent cx="25527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666750"/>
                    </a:xfrm>
                    <a:prstGeom prst="rect">
                      <a:avLst/>
                    </a:prstGeom>
                  </pic:spPr>
                </pic:pic>
              </a:graphicData>
            </a:graphic>
          </wp:inline>
        </w:drawing>
      </w:r>
    </w:p>
    <w:p>
      <w:pPr>
        <w:spacing w:after="260" w:before="0" w:line="240"/>
        <w:jc w:val="center"/>
      </w:pPr>
      <w:r>
        <w:rPr>
          <w:rFonts w:ascii="Times New Roman" w:cs="Times New Roman" w:eastAsia="Times New Roman" w:hAnsi="Times New Roman"/>
          <w:b/>
          <w:bCs/>
          <w:i w:val="false"/>
          <w:iCs w:val="false"/>
          <w:sz w:val="22"/>
          <w:szCs w:val="22"/>
        </w:rPr>
        <w:t xml:space="preserve">DEPARTMENT OF INFORMATION TECHNOLOGY</w:t>
      </w:r>
    </w:p>
    <w:p>
      <w:pPr>
        <w:spacing w:after="180" w:before="0" w:line="240"/>
        <w:jc w:val="center"/>
      </w:pPr>
      <w:r>
        <w:rPr>
          <w:rFonts w:ascii="Times New Roman" w:cs="Times New Roman" w:eastAsia="Times New Roman" w:hAnsi="Times New Roman"/>
          <w:b/>
          <w:bCs/>
          <w:i w:val="false"/>
          <w:iCs w:val="false"/>
          <w:sz w:val="28"/>
          <w:szCs w:val="28"/>
        </w:rPr>
        <w:t xml:space="preserve">Mini Project Report</w:t>
      </w:r>
    </w:p>
    <w:p>
      <w:pPr>
        <w:spacing w:after="180" w:before="0" w:line="240"/>
        <w:jc w:val="center"/>
      </w:pPr>
      <w:r>
        <w:rPr>
          <w:rFonts w:ascii="Times New Roman" w:cs="Times New Roman" w:eastAsia="Times New Roman" w:hAnsi="Times New Roman"/>
          <w:b/>
          <w:bCs/>
          <w:i w:val="false"/>
          <w:iCs w:val="false"/>
          <w:sz w:val="24"/>
          <w:szCs w:val="24"/>
        </w:rPr>
        <w:t xml:space="preserve">on</w:t>
      </w:r>
    </w:p>
    <w:p>
      <w:pPr>
        <w:spacing w:after="180" w:before="0" w:line="240"/>
        <w:jc w:val="center"/>
      </w:pPr>
      <w:r>
        <w:rPr>
          <w:rFonts w:ascii="Times New Roman" w:cs="Times New Roman" w:eastAsia="Times New Roman" w:hAnsi="Times New Roman"/>
          <w:b/>
          <w:bCs/>
          <w:i w:val="false"/>
          <w:iCs w:val="false"/>
          <w:sz w:val="28"/>
          <w:szCs w:val="28"/>
        </w:rPr>
        <w:t xml:space="preserve">Intelligent Weather Data Analysis and Insight Generation</w:t>
      </w:r>
    </w:p>
    <w:p>
      <w:pPr>
        <w:spacing w:after="240" w:before="0" w:line="240"/>
        <w:jc w:val="center"/>
      </w:pPr>
      <w:r>
        <w:rPr>
          <w:rFonts w:ascii="Times New Roman" w:cs="Times New Roman" w:eastAsia="Times New Roman" w:hAnsi="Times New Roman"/>
          <w:b/>
          <w:bCs/>
          <w:i w:val="false"/>
          <w:iCs w:val="false"/>
          <w:sz w:val="28"/>
          <w:szCs w:val="28"/>
        </w:rPr>
        <w:t xml:space="preserve">Subject-: - AAI</w:t>
      </w:r>
    </w:p>
    <w:p>
      <w:pPr>
        <w:spacing w:after="60" w:before="0" w:line="240"/>
        <w:jc w:val="center"/>
      </w:pPr>
      <w:r>
        <w:rPr>
          <w:rFonts w:ascii="Times New Roman" w:cs="Times New Roman" w:eastAsia="Times New Roman" w:hAnsi="Times New Roman"/>
          <w:b/>
          <w:bCs/>
          <w:i w:val="false"/>
          <w:iCs w:val="false"/>
          <w:sz w:val="28"/>
          <w:szCs w:val="28"/>
        </w:rPr>
        <w:t xml:space="preserve">SEM VII</w:t>
      </w:r>
    </w:p>
    <w:p>
      <w:pPr>
        <w:spacing w:after="260" w:before="0" w:line="240"/>
        <w:jc w:val="center"/>
      </w:pPr>
      <w:r>
        <w:rPr>
          <w:rFonts w:ascii="Times New Roman" w:cs="Times New Roman" w:eastAsia="Times New Roman" w:hAnsi="Times New Roman"/>
          <w:b/>
          <w:bCs/>
          <w:i w:val="false"/>
          <w:iCs w:val="false"/>
          <w:sz w:val="28"/>
          <w:szCs w:val="28"/>
        </w:rPr>
        <w:t xml:space="preserve">(A.Y. 2026-27)</w:t>
      </w:r>
    </w:p>
    <w:p>
      <w:pPr>
        <w:spacing w:after="140" w:before="0" w:line="240"/>
        <w:jc w:val="center"/>
      </w:pPr>
      <w:r>
        <w:rPr>
          <w:rFonts w:ascii="Times New Roman" w:cs="Times New Roman" w:eastAsia="Times New Roman" w:hAnsi="Times New Roman"/>
          <w:b/>
          <w:bCs/>
          <w:i/>
          <w:iCs/>
          <w:sz w:val="22"/>
          <w:szCs w:val="22"/>
        </w:rPr>
        <w:t xml:space="preserve">Presented By</w:t>
      </w:r>
    </w:p>
    <w:tbl>
      <w:tblPr>
        <w:tblW w:type="dxa" w:w="760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3800"/>
        <w:gridCol w:w="2400"/>
      </w:tblGrid>
      <w:tr>
        <w:trPr>
          <w:cantSplit/>
          <w:tblHeader/>
        </w:trPr>
        <w:tc>
          <w:tcPr>
            <w:tcW w:type="dxa" w:w="14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Roll No.</w:t>
            </w:r>
          </w:p>
        </w:tc>
        <w:tc>
          <w:tcPr>
            <w:tcW w:type="dxa" w:w="38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Name</w:t>
            </w:r>
          </w:p>
        </w:tc>
        <w:tc>
          <w:tcPr>
            <w:tcW w:type="dxa" w:w="24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PRN</w:t>
            </w:r>
          </w:p>
        </w:tc>
      </w:tr>
      <w:tr>
        <w:trPr>
          <w:cantSplit/>
          <w:tblHeader w:val="false"/>
        </w:trPr>
        <w:tc>
          <w:tcPr>
            <w:tcW w:type="dxa" w:w="1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06</w:t>
            </w:r>
          </w:p>
        </w:tc>
        <w:tc>
          <w:tcPr>
            <w:tcW w:type="dxa" w:w="38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Roshan Epili</w:t>
            </w:r>
          </w:p>
        </w:tc>
        <w:tc>
          <w:tcPr>
            <w:tcW w:type="dxa" w:w="2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2343110200</w:t>
            </w:r>
          </w:p>
        </w:tc>
      </w:tr>
      <w:tr>
        <w:trPr>
          <w:cantSplit/>
          <w:tblHeader w:val="false"/>
        </w:trPr>
        <w:tc>
          <w:tcPr>
            <w:tcW w:type="dxa" w:w="1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07</w:t>
            </w:r>
          </w:p>
        </w:tc>
        <w:tc>
          <w:tcPr>
            <w:tcW w:type="dxa" w:w="38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Aniket Giri</w:t>
            </w:r>
          </w:p>
        </w:tc>
        <w:tc>
          <w:tcPr>
            <w:tcW w:type="dxa" w:w="2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2343110201</w:t>
            </w:r>
          </w:p>
        </w:tc>
      </w:tr>
      <w:tr>
        <w:trPr>
          <w:cantSplit/>
          <w:tblHeader w:val="false"/>
        </w:trPr>
        <w:tc>
          <w:tcPr>
            <w:tcW w:type="dxa" w:w="1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08</w:t>
            </w:r>
          </w:p>
        </w:tc>
        <w:tc>
          <w:tcPr>
            <w:tcW w:type="dxa" w:w="38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Lalit Suthar</w:t>
            </w:r>
          </w:p>
        </w:tc>
        <w:tc>
          <w:tcPr>
            <w:tcW w:type="dxa" w:w="2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2343110202</w:t>
            </w:r>
          </w:p>
        </w:tc>
      </w:tr>
      <w:tr>
        <w:trPr>
          <w:cantSplit/>
          <w:tblHeader w:val="false"/>
        </w:trPr>
        <w:tc>
          <w:tcPr>
            <w:tcW w:type="dxa" w:w="1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13</w:t>
            </w:r>
          </w:p>
        </w:tc>
        <w:tc>
          <w:tcPr>
            <w:tcW w:type="dxa" w:w="38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Swayam Kokate</w:t>
            </w:r>
          </w:p>
        </w:tc>
        <w:tc>
          <w:tcPr>
            <w:tcW w:type="dxa" w:w="2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____________</w:t>
            </w:r>
          </w:p>
        </w:tc>
      </w:tr>
      <w:tr>
        <w:trPr>
          <w:cantSplit/>
          <w:tblHeader w:val="false"/>
        </w:trPr>
        <w:tc>
          <w:tcPr>
            <w:tcW w:type="dxa" w:w="1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18</w:t>
            </w:r>
          </w:p>
        </w:tc>
        <w:tc>
          <w:tcPr>
            <w:tcW w:type="dxa" w:w="38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Gatik Tamore</w:t>
            </w:r>
          </w:p>
        </w:tc>
        <w:tc>
          <w:tcPr>
            <w:tcW w:type="dxa" w:w="24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____________</w:t>
            </w:r>
          </w:p>
        </w:tc>
      </w:tr>
    </w:tbl>
    <w:p>
      <w:r>
        <w:br w:type="page"/>
      </w:r>
    </w:p>
    <w:p>
      <w:pPr>
        <w:spacing w:after="360" w:before="0" w:line="240"/>
        <w:jc w:val="center"/>
      </w:pPr>
      <w:r>
        <w:rPr>
          <w:rFonts w:ascii="Times New Roman" w:cs="Times New Roman" w:eastAsia="Times New Roman" w:hAnsi="Times New Roman"/>
          <w:b/>
          <w:bCs/>
          <w:i w:val="false"/>
          <w:iCs w:val="false"/>
          <w:sz w:val="24"/>
          <w:szCs w:val="24"/>
        </w:rPr>
        <w:t xml:space="preserve">BHARATI VIDYAPEETH (DEEMED TO BE UNIVERSITY)</w:t>
      </w:r>
    </w:p>
    <w:p>
      <w:pPr>
        <w:spacing w:after="100" w:before="0" w:line="240"/>
        <w:jc w:val="center"/>
      </w:pPr>
      <w:r>
        <w:rPr>
          <w:rFonts w:ascii="Times New Roman" w:cs="Times New Roman" w:eastAsia="Times New Roman" w:hAnsi="Times New Roman"/>
          <w:b/>
          <w:bCs/>
          <w:i w:val="false"/>
          <w:iCs w:val="false"/>
          <w:sz w:val="24"/>
          <w:szCs w:val="24"/>
        </w:rPr>
        <w:t xml:space="preserve">DEPARTMENT OF ENGINEERING &amp; TECHNOLOGY</w:t>
      </w:r>
    </w:p>
    <w:p>
      <w:pPr>
        <w:spacing w:after="200" w:before="0" w:line="240"/>
        <w:jc w:val="center"/>
      </w:pPr>
      <w:r>
        <w:rPr>
          <w:rFonts w:ascii="Times New Roman" w:cs="Times New Roman" w:eastAsia="Times New Roman" w:hAnsi="Times New Roman"/>
          <w:b/>
          <w:bCs/>
          <w:i w:val="false"/>
          <w:iCs w:val="false"/>
          <w:sz w:val="24"/>
          <w:szCs w:val="24"/>
        </w:rPr>
        <w:t xml:space="preserve">KHARGHAR, NAVI MUMBAI</w:t>
      </w:r>
    </w:p>
    <w:p>
      <w:pPr>
        <w:spacing w:after="240" w:before="60" w:line="240" w:lineRule="auto"/>
        <w:jc w:val="center"/>
      </w:pPr>
      <w:r>
        <w:drawing>
          <wp:inline distT="0" distB="0" distL="0" distR="0">
            <wp:extent cx="25527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666750"/>
                    </a:xfrm>
                    <a:prstGeom prst="rect">
                      <a:avLst/>
                    </a:prstGeom>
                  </pic:spPr>
                </pic:pic>
              </a:graphicData>
            </a:graphic>
          </wp:inline>
        </w:drawing>
      </w:r>
    </w:p>
    <w:p>
      <w:pPr>
        <w:spacing w:after="300" w:before="0" w:line="240"/>
        <w:jc w:val="center"/>
      </w:pPr>
      <w:r>
        <w:rPr>
          <w:rFonts w:ascii="Times New Roman" w:cs="Times New Roman" w:eastAsia="Times New Roman" w:hAnsi="Times New Roman"/>
          <w:b/>
          <w:bCs/>
          <w:i w:val="false"/>
          <w:iCs w:val="false"/>
          <w:sz w:val="28"/>
          <w:szCs w:val="28"/>
        </w:rPr>
        <w:t xml:space="preserve">CERTIFICATE</w:t>
      </w:r>
    </w:p>
    <w:p>
      <w:pPr>
        <w:spacing w:after="300" w:before="0" w:line="240"/>
        <w:jc w:val="both"/>
      </w:pPr>
      <w:r>
        <w:rPr>
          <w:rFonts w:ascii="Times New Roman" w:cs="Times New Roman" w:eastAsia="Times New Roman" w:hAnsi="Times New Roman"/>
          <w:b w:val="false"/>
          <w:bCs w:val="false"/>
          <w:i w:val="false"/>
          <w:iCs w:val="false"/>
          <w:sz w:val="24"/>
          <w:szCs w:val="24"/>
        </w:rPr>
        <w:t xml:space="preserve">This is to certify that the requirements for the project report entitled ‘Intelligent Weather Data Analysis and Insight Generation’ have been successfully completed by the following students:</w:t>
      </w:r>
    </w:p>
    <w:tbl>
      <w:tblPr>
        <w:tblW w:type="dxa" w:w="6500"/>
        <w:tblBorders>
          <w:top w:val="single" w:color="000000" w:sz="4"/>
          <w:left w:val="single" w:color="000000" w:sz="4"/>
          <w:bottom w:val="single" w:color="000000" w:sz="4"/>
          <w:right w:val="single" w:color="000000" w:sz="4"/>
          <w:insideH w:val="single" w:color="000000" w:sz="4"/>
          <w:insideV w:val="single" w:color="000000" w:sz="4"/>
        </w:tblBorders>
      </w:tblPr>
      <w:tblGrid>
        <w:gridCol w:w="3900"/>
        <w:gridCol w:w="2600"/>
      </w:tblGrid>
      <w:tr>
        <w:trPr>
          <w:cantSplit/>
          <w:tblHeader/>
        </w:trPr>
        <w:tc>
          <w:tcPr>
            <w:tcW w:type="dxa" w:w="39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Name</w:t>
            </w:r>
          </w:p>
        </w:tc>
        <w:tc>
          <w:tcPr>
            <w:tcW w:type="dxa" w:w="26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PRN No.</w:t>
            </w:r>
          </w:p>
        </w:tc>
      </w:tr>
      <w:tr>
        <w:trPr>
          <w:cantSplit/>
          <w:tblHeader w:val="false"/>
        </w:trPr>
        <w:tc>
          <w:tcPr>
            <w:tcW w:type="dxa" w:w="3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Roshan Epili</w:t>
            </w:r>
          </w:p>
        </w:tc>
        <w:tc>
          <w:tcPr>
            <w:tcW w:type="dxa" w:w="26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2343110200</w:t>
            </w:r>
          </w:p>
        </w:tc>
      </w:tr>
      <w:tr>
        <w:trPr>
          <w:cantSplit/>
          <w:tblHeader w:val="false"/>
        </w:trPr>
        <w:tc>
          <w:tcPr>
            <w:tcW w:type="dxa" w:w="3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Aniket Giri</w:t>
            </w:r>
          </w:p>
        </w:tc>
        <w:tc>
          <w:tcPr>
            <w:tcW w:type="dxa" w:w="26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2343110201</w:t>
            </w:r>
          </w:p>
        </w:tc>
      </w:tr>
      <w:tr>
        <w:trPr>
          <w:cantSplit/>
          <w:tblHeader w:val="false"/>
        </w:trPr>
        <w:tc>
          <w:tcPr>
            <w:tcW w:type="dxa" w:w="3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Lalit Suthar</w:t>
            </w:r>
          </w:p>
        </w:tc>
        <w:tc>
          <w:tcPr>
            <w:tcW w:type="dxa" w:w="26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2343110202</w:t>
            </w:r>
          </w:p>
        </w:tc>
      </w:tr>
      <w:tr>
        <w:trPr>
          <w:cantSplit/>
          <w:tblHeader w:val="false"/>
        </w:trPr>
        <w:tc>
          <w:tcPr>
            <w:tcW w:type="dxa" w:w="3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Swayam Kokate</w:t>
            </w:r>
          </w:p>
        </w:tc>
        <w:tc>
          <w:tcPr>
            <w:tcW w:type="dxa" w:w="26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____________</w:t>
            </w:r>
          </w:p>
        </w:tc>
      </w:tr>
      <w:tr>
        <w:trPr>
          <w:cantSplit/>
          <w:tblHeader w:val="false"/>
        </w:trPr>
        <w:tc>
          <w:tcPr>
            <w:tcW w:type="dxa" w:w="3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Gatik Tamore</w:t>
            </w:r>
          </w:p>
        </w:tc>
        <w:tc>
          <w:tcPr>
            <w:tcW w:type="dxa" w:w="26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____________</w:t>
            </w:r>
          </w:p>
        </w:tc>
      </w:tr>
    </w:tbl>
    <w:p>
      <w:pPr>
        <w:spacing w:line="240"/>
      </w:pPr>
      <w:r>
        <w:rPr>
          <w:rFonts w:ascii="Times New Roman" w:cs="Times New Roman" w:eastAsia="Times New Roman" w:hAnsi="Times New Roman"/>
          <w:b w:val="false"/>
          <w:bCs w:val="false"/>
          <w:i w:val="false"/>
          <w:iCs w:val="false"/>
          <w:sz w:val="24"/>
          <w:szCs w:val="24"/>
        </w:rPr>
        <w:t xml:space="preserve"/>
      </w:r>
    </w:p>
    <w:p>
      <w:pPr>
        <w:spacing w:after="200" w:before="0" w:line="240"/>
        <w:jc w:val="both"/>
      </w:pPr>
      <w:r>
        <w:rPr>
          <w:rFonts w:ascii="Times New Roman" w:cs="Times New Roman" w:eastAsia="Times New Roman" w:hAnsi="Times New Roman"/>
          <w:b w:val="false"/>
          <w:bCs w:val="false"/>
          <w:i w:val="false"/>
          <w:iCs w:val="false"/>
          <w:sz w:val="24"/>
          <w:szCs w:val="24"/>
        </w:rPr>
        <w:t xml:space="preserve">in partial fulfillment of B.Tech in the Department of IT, BVDU DET, during the Academic Year 2026 – 2027.</w:t>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after="60" w:before="0" w:line="240"/>
        <w:jc w:val="right"/>
      </w:pPr>
      <w:r>
        <w:rPr>
          <w:rFonts w:ascii="Times New Roman" w:cs="Times New Roman" w:eastAsia="Times New Roman" w:hAnsi="Times New Roman"/>
          <w:b/>
          <w:bCs/>
          <w:i w:val="false"/>
          <w:iCs w:val="false"/>
          <w:sz w:val="24"/>
          <w:szCs w:val="24"/>
        </w:rPr>
        <w:t xml:space="preserve">Subject In charge</w:t>
      </w:r>
    </w:p>
    <w:p>
      <w:pPr>
        <w:spacing w:after="40" w:before="0" w:line="240"/>
        <w:jc w:val="right"/>
      </w:pPr>
      <w:r>
        <w:rPr>
          <w:rFonts w:ascii="Times New Roman" w:cs="Times New Roman" w:eastAsia="Times New Roman" w:hAnsi="Times New Roman"/>
          <w:b w:val="false"/>
          <w:bCs w:val="false"/>
          <w:i w:val="false"/>
          <w:iCs w:val="false"/>
          <w:sz w:val="22"/>
          <w:szCs w:val="22"/>
        </w:rPr>
        <w:t xml:space="preserve">Prof. Krishna</w:t>
      </w:r>
    </w:p>
    <w:p>
      <w:pPr>
        <w:spacing w:after="0" w:before="0" w:line="240"/>
        <w:jc w:val="right"/>
      </w:pPr>
      <w:r>
        <w:rPr>
          <w:rFonts w:ascii="Times New Roman" w:cs="Times New Roman" w:eastAsia="Times New Roman" w:hAnsi="Times New Roman"/>
          <w:b w:val="false"/>
          <w:bCs w:val="false"/>
          <w:i w:val="false"/>
          <w:iCs w:val="false"/>
          <w:sz w:val="20"/>
          <w:szCs w:val="20"/>
        </w:rPr>
        <w:t xml:space="preserve">(Name and Sign)</w:t>
      </w:r>
    </w:p>
    <w:p>
      <w:r>
        <w:br w:type="page"/>
      </w:r>
    </w:p>
    <w:p>
      <w:pPr>
        <w:spacing w:after="360" w:before="0" w:line="240"/>
        <w:jc w:val="center"/>
      </w:pPr>
      <w:r>
        <w:rPr>
          <w:rFonts w:ascii="Times New Roman" w:cs="Times New Roman" w:eastAsia="Times New Roman" w:hAnsi="Times New Roman"/>
          <w:b/>
          <w:bCs/>
          <w:i w:val="false"/>
          <w:iCs w:val="false"/>
          <w:sz w:val="24"/>
          <w:szCs w:val="24"/>
        </w:rPr>
        <w:t xml:space="preserve">BHARATI VIDYAPEETH (DEEMED TO BE UNIVERSITY)</w:t>
      </w:r>
    </w:p>
    <w:p>
      <w:pPr>
        <w:spacing w:after="100" w:before="0" w:line="240"/>
        <w:jc w:val="center"/>
      </w:pPr>
      <w:r>
        <w:rPr>
          <w:rFonts w:ascii="Times New Roman" w:cs="Times New Roman" w:eastAsia="Times New Roman" w:hAnsi="Times New Roman"/>
          <w:b/>
          <w:bCs/>
          <w:i w:val="false"/>
          <w:iCs w:val="false"/>
          <w:sz w:val="24"/>
          <w:szCs w:val="24"/>
        </w:rPr>
        <w:t xml:space="preserve">DEPARTMENT OF ENGINEERING &amp; TECHNOLOGY</w:t>
      </w:r>
    </w:p>
    <w:p>
      <w:pPr>
        <w:spacing w:after="200" w:before="0" w:line="240"/>
        <w:jc w:val="center"/>
      </w:pPr>
      <w:r>
        <w:rPr>
          <w:rFonts w:ascii="Times New Roman" w:cs="Times New Roman" w:eastAsia="Times New Roman" w:hAnsi="Times New Roman"/>
          <w:b/>
          <w:bCs/>
          <w:i w:val="false"/>
          <w:iCs w:val="false"/>
          <w:sz w:val="24"/>
          <w:szCs w:val="24"/>
        </w:rPr>
        <w:t xml:space="preserve">KHARGHAR, NAVI MUMBAI</w:t>
      </w:r>
    </w:p>
    <w:p>
      <w:pPr>
        <w:spacing w:after="240" w:before="60" w:line="240" w:lineRule="auto"/>
        <w:jc w:val="center"/>
      </w:pPr>
      <w:r>
        <w:drawing>
          <wp:inline distT="0" distB="0" distL="0" distR="0">
            <wp:extent cx="25527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666750"/>
                    </a:xfrm>
                    <a:prstGeom prst="rect">
                      <a:avLst/>
                    </a:prstGeom>
                  </pic:spPr>
                </pic:pic>
              </a:graphicData>
            </a:graphic>
          </wp:inline>
        </w:drawing>
      </w:r>
    </w:p>
    <w:p>
      <w:pPr>
        <w:spacing w:after="300" w:before="0" w:line="240"/>
        <w:jc w:val="center"/>
      </w:pPr>
      <w:r>
        <w:rPr>
          <w:rFonts w:ascii="Times New Roman" w:cs="Times New Roman" w:eastAsia="Times New Roman" w:hAnsi="Times New Roman"/>
          <w:b/>
          <w:bCs/>
          <w:i w:val="false"/>
          <w:iCs w:val="false"/>
          <w:sz w:val="28"/>
          <w:szCs w:val="28"/>
        </w:rPr>
        <w:t xml:space="preserve">DECLARATION</w:t>
      </w:r>
    </w:p>
    <w:p>
      <w:pPr>
        <w:spacing w:after="320" w:before="0" w:line="240"/>
        <w:jc w:val="both"/>
      </w:pPr>
      <w:r>
        <w:rPr>
          <w:rFonts w:ascii="Times New Roman" w:cs="Times New Roman" w:eastAsia="Times New Roman" w:hAnsi="Times New Roman"/>
          <w:b w:val="false"/>
          <w:bCs w:val="false"/>
          <w:i w:val="false"/>
          <w:iCs w:val="false"/>
          <w:sz w:val="22"/>
          <w:szCs w:val="22"/>
        </w:rPr>
        <w:t xml:space="preserve">We declare that this written submission for B.TECH project entitled “Intelligent Weather Data Analysis and Insight Generation” represent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ideas / data / fact / source in our submission. We understand that any violation of the above will cause for disciplinary action by institute and also evoke penal action from the sources which have not been properly cited or from whom prior permission have not been taken when needed.</w:t>
      </w:r>
    </w:p>
    <w:tbl>
      <w:tblPr>
        <w:tblW w:type="dxa" w:w="7200"/>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3000"/>
      </w:tblGrid>
      <w:tr>
        <w:trPr>
          <w:cantSplit/>
          <w:tblHeader/>
        </w:trPr>
        <w:tc>
          <w:tcPr>
            <w:tcW w:type="dxa" w:w="42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Project Group Members</w:t>
            </w:r>
          </w:p>
        </w:tc>
        <w:tc>
          <w:tcPr>
            <w:tcW w:type="dxa" w:w="30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Signature</w:t>
            </w:r>
          </w:p>
        </w:tc>
      </w:tr>
      <w:tr>
        <w:trPr>
          <w:cantSplit/>
          <w:tblHeader w:val="false"/>
        </w:trPr>
        <w:tc>
          <w:tcPr>
            <w:tcW w:type="dxa" w:w="42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Roshan Epili:</w:t>
            </w:r>
          </w:p>
        </w:tc>
        <w:tc>
          <w:tcPr>
            <w:tcW w:type="dxa" w:w="30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42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Aniket Giri:</w:t>
            </w:r>
          </w:p>
        </w:tc>
        <w:tc>
          <w:tcPr>
            <w:tcW w:type="dxa" w:w="30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42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Lalit Suthar:</w:t>
            </w:r>
          </w:p>
        </w:tc>
        <w:tc>
          <w:tcPr>
            <w:tcW w:type="dxa" w:w="30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42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Swayam Kokate:</w:t>
            </w:r>
          </w:p>
        </w:tc>
        <w:tc>
          <w:tcPr>
            <w:tcW w:type="dxa" w:w="30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42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Gatik Tamore:</w:t>
            </w:r>
          </w:p>
        </w:tc>
        <w:tc>
          <w:tcPr>
            <w:tcW w:type="dxa" w:w="30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
            </w:r>
          </w:p>
        </w:tc>
      </w:tr>
    </w:tbl>
    <w:p>
      <w:r>
        <w:br w:type="page"/>
      </w:r>
    </w:p>
    <w:p>
      <w:pPr>
        <w:spacing w:after="320" w:before="0" w:line="240"/>
        <w:jc w:val="center"/>
      </w:pPr>
      <w:r>
        <w:rPr>
          <w:rFonts w:ascii="Times New Roman" w:cs="Times New Roman" w:eastAsia="Times New Roman" w:hAnsi="Times New Roman"/>
          <w:b/>
          <w:bCs/>
          <w:i w:val="false"/>
          <w:iCs w:val="false"/>
          <w:sz w:val="28"/>
          <w:szCs w:val="28"/>
        </w:rPr>
        <w:t xml:space="preserve">ABSTRACT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report presents the design, implementation and evaluation of an agentic artificial-intelligence system that analyses live and historical weather data and explains its findings in plain language. A conventional weather application reports that the temperature is 31 °C; it does not say whether 31 °C is unusual for that place on that date. The system described here closes that gap. A natural-language question is first converted into a structured plan, and that plan — not the raw question — drives seven cooperating agents responsible for planning, data acquisition, statistical analysis, anomaly detection, knowledge retrieval and answer generation. Observations, forecasts and a reanalysis archive reaching back to 1940 are obtained from the Open-Meteo service, so a ten-year climatological baseline can be assembled for any location without a second integration. Departures are measured against the normal for the calendar date, pooled over a ±7-day window across baseline years, rather than against a rolling mean; daily rainfall is classified using the published India Meteorological Department categories instead of distribution-based outlier tests, which are unreliable on a zero-inflated series. Meteorological background is supplied by a retrieval-augmented generation layer over a curated knowledge base with three interchangeable retrieval backends — lexical, semantic and a hybrid of the two fused by Reciprocal Rank Fusion. The system was evaluated on 46 hand-labelled questions divided into a development split used during development and a held-out test split written afterwards with deliberately different phrasing. On the held-out split the language-model planner reached 91.7% intent accuracy against 33.3% for the rule-based planner, and hybrid retrieval reached 50.0% Recall@4 against 37.5% for lexical retrieval alone. Every generated answer is checked by a groundedness metric that extracts each number from the answer and verifies that the pipeline actually computed it.</w:t>
      </w:r>
    </w:p>
    <w:p>
      <w:pPr>
        <w:spacing w:line="240"/>
      </w:pPr>
      <w:r>
        <w:rPr>
          <w:rFonts w:ascii="Times New Roman" w:cs="Times New Roman" w:eastAsia="Times New Roman" w:hAnsi="Times New Roman"/>
          <w:b w:val="false"/>
          <w:bCs w:val="false"/>
          <w:i w:val="false"/>
          <w:iCs w:val="false"/>
          <w:sz w:val="24"/>
          <w:szCs w:val="24"/>
        </w:rPr>
        <w:t xml:space="preserve"/>
      </w:r>
    </w:p>
    <w:p>
      <w:pPr>
        <w:spacing w:after="0" w:before="0" w:line="24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bCs/>
          <w:i/>
          <w:iCs/>
          <w:sz w:val="20"/>
          <w:szCs w:val="20"/>
        </w:rPr>
        <w:t xml:space="preserve">Agentic AI, Retrieval-Augmented Generation, Anomaly Detection, Climatological Baseline, Large Language Models</w:t>
      </w:r>
    </w:p>
    <w:p>
      <w:r>
        <w:br w:type="page"/>
      </w:r>
    </w:p>
    <w:p>
      <w:pPr>
        <w:spacing w:after="400" w:before="0" w:line="240"/>
        <w:jc w:val="center"/>
      </w:pPr>
      <w:r>
        <w:rPr>
          <w:rFonts w:ascii="Times New Roman" w:cs="Times New Roman" w:eastAsia="Times New Roman" w:hAnsi="Times New Roman"/>
          <w:b/>
          <w:bCs/>
          <w:i w:val="false"/>
          <w:iCs w:val="false"/>
          <w:sz w:val="28"/>
          <w:szCs w:val="28"/>
        </w:rPr>
        <w:t xml:space="preserve">LIST OF FIGURES</w:t>
      </w:r>
    </w:p>
    <w:tbl>
      <w:tblPr>
        <w:tblW w:type="dxa" w:w="8700"/>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6100"/>
        <w:gridCol w:w="1500"/>
      </w:tblGrid>
      <w:tr>
        <w:trPr>
          <w:cantSplit/>
          <w:tblHeader/>
        </w:trPr>
        <w:tc>
          <w:tcPr>
            <w:tcW w:type="dxa" w:w="1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S.No</w:t>
            </w:r>
          </w:p>
        </w:tc>
        <w:tc>
          <w:tcPr>
            <w:tcW w:type="dxa" w:w="6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Figure Caption</w:t>
            </w:r>
          </w:p>
        </w:tc>
        <w:tc>
          <w:tcPr>
            <w:tcW w:type="dxa" w:w="15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Page No.</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3.1</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Data flow diagram — Level 0 (context diagram)</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12</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3.2</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Data flow diagram — Level 1</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13</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3.3</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Layered system architecture</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14</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3.4</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UML class diagram — core data contracts</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15</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3.5</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UML class diagram — agent hierarchy and orchestrator</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16</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3.6</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UML sequence diagram — lifecycle of a single question</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17</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5.1</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Chat tab with the “Show the working” evidence panel</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23</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5.2</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Dashboard — departure scale and the “Is this normal?” view</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24</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5.3</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Planning intent accuracy, rule-based against LLM planner</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25</w:t>
            </w:r>
          </w:p>
        </w:tc>
      </w:tr>
      <w:tr>
        <w:trPr>
          <w:cantSplit/>
          <w:tblHeader w:val="false"/>
        </w:trPr>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5.4</w:t>
            </w:r>
          </w:p>
        </w:tc>
        <w:tc>
          <w:tcPr>
            <w:tcW w:type="dxa" w:w="6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Retrieval Recall@4 by embedding backend</w:t>
            </w:r>
          </w:p>
        </w:tc>
        <w:tc>
          <w:tcPr>
            <w:tcW w:type="dxa" w:w="1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2"/>
                <w:szCs w:val="22"/>
              </w:rPr>
              <w:t xml:space="preserve">26</w:t>
            </w:r>
          </w:p>
        </w:tc>
      </w:tr>
    </w:tbl>
    <w:p>
      <w:r>
        <w:br w:type="page"/>
      </w:r>
    </w:p>
    <w:p>
      <w:pPr>
        <w:spacing w:after="400" w:before="0" w:line="240"/>
        <w:jc w:val="center"/>
      </w:pPr>
      <w:r>
        <w:rPr>
          <w:rFonts w:ascii="Times New Roman" w:cs="Times New Roman" w:eastAsia="Times New Roman" w:hAnsi="Times New Roman"/>
          <w:b/>
          <w:bCs/>
          <w:i w:val="false"/>
          <w:iCs w:val="false"/>
          <w:sz w:val="28"/>
          <w:szCs w:val="28"/>
        </w:rPr>
        <w:t xml:space="preserve">INDEX</w:t>
      </w:r>
    </w:p>
    <w:tbl>
      <w:tblPr>
        <w:tblW w:type="dxa" w:w="87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400"/>
        <w:gridCol w:w="1900"/>
      </w:tblGrid>
      <w:tr>
        <w:trPr>
          <w:cantSplit/>
          <w:tblHeader/>
        </w:trPr>
        <w:tc>
          <w:tcPr>
            <w:tcW w:type="dxa" w:w="24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Chapter No.</w:t>
            </w:r>
          </w:p>
        </w:tc>
        <w:tc>
          <w:tcPr>
            <w:tcW w:type="dxa" w:w="44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Title</w:t>
            </w:r>
          </w:p>
        </w:tc>
        <w:tc>
          <w:tcPr>
            <w:tcW w:type="dxa" w:w="19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2"/>
                <w:szCs w:val="22"/>
              </w:rPr>
              <w:t xml:space="preserve">Page No.</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1</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Introduction</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7</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2</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Literature Survey</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9</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3</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System Design</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12</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4</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Implementation</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18</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5</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Result</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23</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6</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Conclusion</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28</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7</w:t>
            </w:r>
          </w:p>
        </w:tc>
        <w:tc>
          <w:tcPr>
            <w:tcW w:type="dxa" w:w="4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References</w:t>
            </w:r>
          </w:p>
        </w:tc>
        <w:tc>
          <w:tcPr>
            <w:tcW w:type="dxa" w:w="19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2"/>
                <w:szCs w:val="22"/>
              </w:rPr>
              <w:t xml:space="preserve">30</w:t>
            </w:r>
          </w:p>
        </w:tc>
      </w:tr>
    </w:tbl>
    <w:p>
      <w:r>
        <w:br w:type="page"/>
      </w:r>
    </w:p>
    <w:p>
      <w:pPr>
        <w:spacing w:after="160" w:before="0" w:line="240"/>
        <w:jc w:val="center"/>
      </w:pPr>
      <w:r>
        <w:rPr>
          <w:rFonts w:ascii="Times New Roman" w:cs="Times New Roman" w:eastAsia="Times New Roman" w:hAnsi="Times New Roman"/>
          <w:b/>
          <w:bCs/>
          <w:i w:val="false"/>
          <w:iCs w:val="false"/>
          <w:sz w:val="28"/>
          <w:szCs w:val="28"/>
        </w:rPr>
        <w:t xml:space="preserve">CHAPTER 1</w:t>
      </w:r>
    </w:p>
    <w:p>
      <w:pPr>
        <w:spacing w:after="320" w:before="0" w:line="240"/>
        <w:jc w:val="center"/>
      </w:pPr>
      <w:r>
        <w:rPr>
          <w:rFonts w:ascii="Times New Roman" w:cs="Times New Roman" w:eastAsia="Times New Roman" w:hAnsi="Times New Roman"/>
          <w:b/>
          <w:bCs/>
          <w:i w:val="false"/>
          <w:iCs w:val="false"/>
          <w:sz w:val="28"/>
          <w:szCs w:val="28"/>
        </w:rPr>
        <w:t xml:space="preserve">INTRODUCTION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Weather information is among the most widely consumed forms of public data, yet the applications that deliver it answer only the narrowest question a user can ask. They report that the temperature in Mumbai is 31 °C and that 40 mm of rain fell yesterday. They do not say whether 31 °C is warm for Mumbai in late September, whether 40 mm counts as heavy rainfall under any recognised classification, or whether either figure is out of line with what the last ten years would lead one to expect. The number is displayed; its meaning is left to the reader.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That gap is not a presentation problem. Deciding whether an observation is unusual requires a baseline, and constructing a baseline requires historical data, a defensible statistical method, and a vocabulary in which the result can be expressed. It also requires judgement about which comparison is being made: “unusual for this time of year” and “unusual compared with the last few weeks” are different claims that frequently disagree, and a system that conflates them will confidently mislead.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project addresses that gap with an agentic artificial-intelligence system. Rather than mapping a question directly onto a single model call, the system first converts the question into a structured plan — an explicit record of the intent, the place, the date range, the variables of interest and the data the answer will require. Nothing downstream reads the original question; every subsequent component reads the plan. This makes the system’s behaviour inspectable, and it keeps the work proportional to the question: a conceptual query such as “what is relative humidity?” triggers no network calls at all, while “is today’s heat in Nagpur unusual?” pulls a ten-year baseline.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Seven agents cooperate under a single orchestrator. A planner produces the plan; a data agent fetches current conditions, forecasts and reanalysis history from Open-Meteo; an analysis agent computes descriptive statistics and fits trends; an anomaly agent compares observations against the climatological normal for the calendar date and against published India Meteorological Department thresholds; a retrieval agent performs retrieval-augmented generation over a curated meteorological knowledge base; and two alternative generation agents render the same grounded facts either as conversational prose for the web interface or as a structured report for the programmatic interface. Every agent returns an identical result envelope, so the orchestrator remains simple and the full execution trace — which agents ran, how long each took, and what each produced — can be displayed to the user alongside the answer.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Two commitments shape the work throughout. The first is grounding: the language model is given the computed numbers and the retrieved text and instructed to use nothing else, and an automated groundedness metric extracts every number from the generated answer and verifies that the pipeline actually produced it. The second is honest measurement. The evaluation set is divided into a development split, which was used while the rule-based components were being debugged and whose scores are therefore fitted, and a held-out test split written afterwards using phrasing deliberately absent from the keyword lists. Throughout this report the held-out figures are the ones quoted.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remainder of the report is organised as follows. Chapter 2 surveys the literature on retrieval-augmented generation, tool-using language agents and data-driven weather modelling. Chapter 3 presents the system design through data flow diagrams, the layered architecture and UML class and sequence diagrams. Chapter 4 describes the implementation and the technologies used, with excerpts from the modules that carry the central design decisions. Chapter 5 reports the measured results. Chapter 6 draws conclusions and sets out the limitations and future scope.</w:t>
      </w:r>
    </w:p>
    <w:p>
      <w:r>
        <w:br w:type="page"/>
      </w:r>
    </w:p>
    <w:p>
      <w:pPr>
        <w:spacing w:after="160" w:before="0" w:line="240"/>
        <w:jc w:val="center"/>
      </w:pPr>
      <w:r>
        <w:rPr>
          <w:rFonts w:ascii="Times New Roman" w:cs="Times New Roman" w:eastAsia="Times New Roman" w:hAnsi="Times New Roman"/>
          <w:b/>
          <w:bCs/>
          <w:i w:val="false"/>
          <w:iCs w:val="false"/>
          <w:sz w:val="28"/>
          <w:szCs w:val="28"/>
        </w:rPr>
        <w:t xml:space="preserve">CHAPTER 2</w:t>
      </w:r>
    </w:p>
    <w:p>
      <w:pPr>
        <w:spacing w:after="300" w:before="0" w:line="240"/>
        <w:jc w:val="center"/>
      </w:pPr>
      <w:r>
        <w:rPr>
          <w:rFonts w:ascii="Times New Roman" w:cs="Times New Roman" w:eastAsia="Times New Roman" w:hAnsi="Times New Roman"/>
          <w:b/>
          <w:bCs/>
          <w:i w:val="false"/>
          <w:iCs w:val="false"/>
          <w:sz w:val="28"/>
          <w:szCs w:val="28"/>
        </w:rPr>
        <w:t xml:space="preserve">LITERATURE SURVEY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work reported here sits at the meeting point of three research areas: retrieval-augmented generation, which supplies language models with external evidence; tool-using and planning language agents, which decide what work to perform before performing it; and data-driven weather and climate modelling, which supplies both the data and the statistical conventions used to judge whether an observation is unusual. Fifteen representative works are summarised below.</w:t>
      </w:r>
    </w:p>
    <w:p>
      <w:pPr>
        <w:spacing w:line="24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1620"/>
        <w:gridCol w:w="1320"/>
        <w:gridCol w:w="1620"/>
        <w:gridCol w:w="1500"/>
        <w:gridCol w:w="1620"/>
        <w:gridCol w:w="1180"/>
      </w:tblGrid>
      <w:tr>
        <w:trPr>
          <w:cantSplit/>
          <w:tblHeader/>
        </w:trPr>
        <w:tc>
          <w:tcPr>
            <w:tcW w:type="dxa" w:w="5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S. No.</w:t>
            </w:r>
          </w:p>
        </w:tc>
        <w:tc>
          <w:tcPr>
            <w:tcW w:type="dxa" w:w="162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Reference</w:t>
            </w:r>
          </w:p>
        </w:tc>
        <w:tc>
          <w:tcPr>
            <w:tcW w:type="dxa" w:w="132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Methods</w:t>
            </w:r>
          </w:p>
        </w:tc>
        <w:tc>
          <w:tcPr>
            <w:tcW w:type="dxa" w:w="162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Advantages</w:t>
            </w:r>
          </w:p>
        </w:tc>
        <w:tc>
          <w:tcPr>
            <w:tcW w:type="dxa" w:w="15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Limitations</w:t>
            </w:r>
          </w:p>
        </w:tc>
        <w:tc>
          <w:tcPr>
            <w:tcW w:type="dxa" w:w="162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Results</w:t>
            </w:r>
          </w:p>
        </w:tc>
        <w:tc>
          <w:tcPr>
            <w:tcW w:type="dxa" w:w="118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16"/>
                <w:szCs w:val="16"/>
              </w:rPr>
              <w:t xml:space="preserve">Remarks</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Lewis et al. (2020), Retrieval-Augmented Generation for Knowledge-Intensive NLP Tasks [1]</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RAG; dense retriever coupled to a seq2seq generator, trained end to end</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Grounds generation in retrievable text, so knowledge can be updated without retraining the model</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Retriever and generator must be trained together; assumes a large annotated corpus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Outperforms purely parametric models on open-domain QA and reduces unsupported statements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Foundational method adopted here</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2</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Gao et al. (2023), Retrieval-Augmented Generation for Large Language Models: A Survey [2]</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Survey; taxonomy of naive, advanced and modular RAG pipelines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Maps the design space of chunking, query expansion, re-ranking and fusion</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Survey only; reports no new measurements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Establishes that retrieval quality, not generator size, bounds end-to-end answer quality</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Guided the RAG design</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Karpukhin et al. (2020), Dense Passage Retrieval for Open-Domain QA [3]</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Dual-encoder dense retrieval with in-batch negatives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Captures semantic similarity where exact term overlap fails</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Needs training data and a GPU; degrades on out-of-domain corpora</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Substantially improves top-k retrieval accuracy over BM25 on several QA benchmarks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Motivates the semantic backend</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Robertson and Zaragoza (2009), The Probabilistic Relevance Framework: BM25 and Beyond [4]</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Probabilistic lexical ranking with term-frequency saturation and length normalisation</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No training required; strong, interpretable baseline</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Matches words rather than meaning; fails on paraphrase</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Remains competitive with neural retrieval on vocabulary-sharing queries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Basis of the lexical backend</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Reimers and Gurevych (2019), Sentence-BERT [5]</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Siamese and triplet BERT networks producing comparable sentence embeddings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Sentence vectors can be compared by cosine similarity at low cost</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Fixed-length vectors lose fine detail; model download required</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Reduces sentence-pair comparison from hours to seconds while preserving accuracy</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Used as the MiniLM backend</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6</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Cormack et al. (2009), Reciprocal Rank Fusion [6]</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Fuses ranked lists using reciprocal ranks with a damping constant k</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Needs no score calibration, no training and no weights to tune</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Discards score magnitude, so a strongly confident single list is damped</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Outperforms Condorcet fusion and individual learned rankers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Used to fuse the two retrievers</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7</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Yao et al. (2023), ReAct: Synergizing Reasoning and Acting in Language Models [7]</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Interleaved reasoning traces and tool actions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Makes the decision path inspectable and allows recovery from tool errors</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Traces can be long and costly; error recovery is not guaranteed</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Improves accuracy and interpretability on QA and decision-making tasks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Informs the trace view</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8</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Schick et al. (2023), Toolformer [8]</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Self-supervised learning of when and how to call external APIs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The model learns which tool is appropriate without hand-written rules</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Requires fine-tuning; the tool set is fixed at training time</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Improves zero-shot performance across tasks requiring external information</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Contrast to the explicit planner used here</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9</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Wei et al. (2022), Chain-of-Thought Prompting [9]</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Prompting that elicits intermediate reasoning steps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Improves multi-step reasoning without any parameter update</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Intermediate steps may be plausible but wrong; verbose output</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Large gains on arithmetic and symbolic reasoning benchmarks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Applies to the planning prompt</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10</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Ji et al. (2023), Survey of Hallucination in Natural Language Generation [10]</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Survey; taxonomy of intrinsic and extrinsic hallucination with mitigation strategies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Frames grounding and faithfulness as measurable properties</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Metrics surveyed are task-specific and not directly comparable</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Identifies retrieval grounding and faithfulness checking as the leading mitigations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Motivates the groundedness metric</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11</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Es et al. (2024), RAGAS: Automated Evaluation of Retrieval Augmented Generation [11]</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Reference-free evaluation of faithfulness, answer relevance and context relevance</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Removes the need for a gold answer for every question</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Relies on an LLM judge, which introduces its own bias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Automated scores correlate with human judgement of RAG quality</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Informs the evaluation design</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12</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Hersbach et al. (2020), The ERA5 Global Reanalysis [12]</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Global reanalysis assimilating historical observations into a consistent gridded record</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Provides a physically consistent multi-decadal baseline at hourly resolution</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Coarse grid misses local extremes; real time lags by several days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Has become the standard reference dataset for climatological baselines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Underlies the archive used here</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13</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Lam et al. (2023), GraphCast: Learning Skillful Medium-Range Global Weather Forecasting [13]</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Graph neural network trained on ERA5 reanalysis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Produces a ten-day global forecast in under a minute on a single device</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Needs large training resources; does not explain its predictions</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Outperforms the operational HRES system on a majority of evaluated variables</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Represents the forecasting frontier</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14</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Bi et al. (2023), Pangu-Weather [14]</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Three-dimensional Earth-specific transformer with hierarchical temporal aggregation</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Fast, accurate medium-range forecasting without a numerical solver</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Trained on reanalysis, so it inherits its biases; not interpretable</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Reported to exceed operational numerical weather prediction accuracy</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Complementary to this work</w:t>
            </w:r>
          </w:p>
        </w:tc>
      </w:tr>
      <w:tr>
        <w:trPr>
          <w:cantSplit/>
          <w:tblHeader w:val="false"/>
        </w:trPr>
        <w:tc>
          <w:tcPr>
            <w:tcW w:type="dxa" w:w="5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16"/>
                <w:szCs w:val="16"/>
              </w:rPr>
              <w:t xml:space="preserve">15</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Pathak et al. (2022), FourCastNet [15]</w:t>
            </w:r>
          </w:p>
        </w:tc>
        <w:tc>
          <w:tcPr>
            <w:tcW w:type="dxa" w:w="13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Adaptive Fourier neural operator at 0.25° resolution</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Orders-of-magnitude faster than numerical models; supports large ensembles</w:t>
            </w:r>
          </w:p>
        </w:tc>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Accuracy falls away at longer lead times; heavy training cost</w:t>
            </w:r>
          </w:p>
        </w:tc>
        <w:tc>
          <w:tcPr>
            <w:tcW w:type="dxa" w:w="162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Demonstrates data-driven forecasting at high spatial resolution</w:t>
            </w:r>
          </w:p>
        </w:tc>
        <w:tc>
          <w:tcPr>
            <w:tcW w:type="dxa" w:w="118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16"/>
                <w:szCs w:val="16"/>
              </w:rPr>
              <w:t xml:space="preserve">Cited as related work</w:t>
            </w:r>
          </w:p>
        </w:tc>
      </w:tr>
    </w:tbl>
    <w:p>
      <w:pPr>
        <w:spacing w:line="240"/>
      </w:pPr>
      <w:r>
        <w:rPr>
          <w:rFonts w:ascii="Times New Roman" w:cs="Times New Roman" w:eastAsia="Times New Roman" w:hAnsi="Times New Roman"/>
          <w:b w:val="false"/>
          <w:bCs w:val="false"/>
          <w:i w:val="false"/>
          <w:iCs w:val="false"/>
          <w:sz w:val="24"/>
          <w:szCs w:val="24"/>
        </w:rPr>
        <w:t xml:space="preserve"/>
      </w:r>
    </w:p>
    <w:p>
      <w:pPr>
        <w:spacing w:after="120" w:before="240" w:line="240"/>
        <w:jc w:val="left"/>
      </w:pPr>
      <w:r>
        <w:rPr>
          <w:rFonts w:ascii="Times New Roman" w:cs="Times New Roman" w:eastAsia="Times New Roman" w:hAnsi="Times New Roman"/>
          <w:b/>
          <w:bCs/>
          <w:i w:val="false"/>
          <w:iCs w:val="false"/>
          <w:sz w:val="24"/>
          <w:szCs w:val="24"/>
        </w:rPr>
        <w:t xml:space="preserve">2.1 Synthesis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Three conclusions follow from this body of work and are reflected directly in the system described in Chapter 3. First, retrieval quality, rather than generator capacity, sets the ceiling on answer quality in a retrieval-augmented system [2]; the evaluation in Chapter 5 therefore measures retrieval separately and quotes Recall@4, since the generator reads every retrieved chunk and not only the first. Second, lexical and dense retrieval fail on different questions — the former on paraphrase, the latter on out-of-domain vocabulary [3][4] — which makes rank-based fusion [6] a principled response rather than an arbitrary ensemble. Third, grounding must be verified and not assumed [10][11]; an automated groundedness check is accordingly built into the evaluation harness rather than left to inspection.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weather-modelling literature is used differently. GraphCast, Pangu-Weather and FourCastNet [13][14][15] represent the state of the art in producing forecasts, which is not the problem addressed here: this system consumes forecasts and observations and concerns itself with interpretation. What it does take from that literature is the reanalysis record [12], which supplies the multi-year, physically consistent baseline without which the word “unusual” has no referent.</w:t>
      </w:r>
    </w:p>
    <w:p>
      <w:r>
        <w:br w:type="page"/>
      </w:r>
    </w:p>
    <w:p>
      <w:pPr>
        <w:spacing w:after="160" w:before="0" w:line="240"/>
        <w:jc w:val="center"/>
      </w:pPr>
      <w:r>
        <w:rPr>
          <w:rFonts w:ascii="Times New Roman" w:cs="Times New Roman" w:eastAsia="Times New Roman" w:hAnsi="Times New Roman"/>
          <w:b/>
          <w:bCs/>
          <w:i w:val="false"/>
          <w:iCs w:val="false"/>
          <w:sz w:val="28"/>
          <w:szCs w:val="28"/>
        </w:rPr>
        <w:t xml:space="preserve">CHAPTER 3</w:t>
      </w:r>
    </w:p>
    <w:p>
      <w:pPr>
        <w:spacing w:after="300" w:before="0" w:line="240"/>
        <w:jc w:val="center"/>
      </w:pPr>
      <w:r>
        <w:rPr>
          <w:rFonts w:ascii="Times New Roman" w:cs="Times New Roman" w:eastAsia="Times New Roman" w:hAnsi="Times New Roman"/>
          <w:b/>
          <w:bCs/>
          <w:i w:val="false"/>
          <w:iCs w:val="false"/>
          <w:sz w:val="28"/>
          <w:szCs w:val="28"/>
        </w:rPr>
        <w:t xml:space="preserve">SYSTEM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system is organised around a single principle: the question is interpreted once, into an explicit plan, and every component thereafter reads that plan rather than the question. This section presents the design as data flow diagrams at two levels, as a layered architecture, and as UML class and sequence diagrams.</w:t>
      </w:r>
    </w:p>
    <w:p>
      <w:pPr>
        <w:spacing w:after="120" w:before="240" w:line="240"/>
        <w:jc w:val="left"/>
      </w:pPr>
      <w:r>
        <w:rPr>
          <w:rFonts w:ascii="Times New Roman" w:cs="Times New Roman" w:eastAsia="Times New Roman" w:hAnsi="Times New Roman"/>
          <w:b/>
          <w:bCs/>
          <w:i w:val="false"/>
          <w:iCs w:val="false"/>
          <w:sz w:val="24"/>
          <w:szCs w:val="24"/>
        </w:rPr>
        <w:t xml:space="preserve">3.1 Context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At the highest level the system exchanges data with three external parties. The user supplies a natural-language question and receives a grounded answer together with the charts and evidence that support it. Open-Meteo supplies geocoding, current conditions, a sixteen-day forecast and a reanalysis archive extending to 1940. A language-model provider — Groq on the free tier, or Anthropic Claude — supplies the structured plan and the conversational prose. The provider is optional: with no key configured the system falls back to rule-based planning and template answers, and the entire data, analysis, anomaly and retrieval pipeline continues to operate.</w:t>
      </w:r>
    </w:p>
    <w:p>
      <w:pPr>
        <w:spacing w:after="60" w:before="120" w:line="240" w:lineRule="auto"/>
        <w:jc w:val="center"/>
      </w:pPr>
      <w:r>
        <w:drawing>
          <wp:inline distT="0" distB="0" distL="0" distR="0">
            <wp:extent cx="59436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171575"/>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3.1  Data flow diagram — Level 0 (context diagram)</w:t>
      </w:r>
    </w:p>
    <w:p>
      <w:pPr>
        <w:spacing w:after="120" w:before="240" w:line="240"/>
        <w:jc w:val="left"/>
      </w:pPr>
      <w:r>
        <w:rPr>
          <w:rFonts w:ascii="Times New Roman" w:cs="Times New Roman" w:eastAsia="Times New Roman" w:hAnsi="Times New Roman"/>
          <w:b/>
          <w:bCs/>
          <w:i w:val="false"/>
          <w:iCs w:val="false"/>
          <w:sz w:val="24"/>
          <w:szCs w:val="24"/>
        </w:rPr>
        <w:t xml:space="preserve">3.2 Level 1 decomposition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Decomposing the single context process yields six processes and three data stores. Process 1.0 converts the question into a QueryPlan. Process 2.0 fetches only the data the plan declares necessary, reading through and writing to a time-to-live response cache (D1) so that repeated questions about the same place do not repeat the network round trip. Processes 3.0 and 4.0 compute descriptive statistics, fit trends and detect departures from the climatological normal. Process 5.0 performs retrieval over the vector store (D2), which is built offline by chunking and embedding the markdown knowledge base (D3). Process 6.0 composes the answer from the computed numbers and the retrieved text, and returns it with the execution trace.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Two of these processes are conditional. Anomaly detection runs only when the plan’s intent is anomaly, comparison, trend or forecast; retrieval runs only when the plan sets the needs_knowledge flag. This is the practical meaning of the word “agentic” in this system: the planner’s output decides which components execute, and each decision is recorded.</w:t>
      </w:r>
    </w:p>
    <w:p>
      <w:pPr>
        <w:spacing w:after="60" w:before="120" w:line="240" w:lineRule="auto"/>
        <w:jc w:val="center"/>
      </w:pPr>
      <w:r>
        <w:drawing>
          <wp:inline distT="0" distB="0" distL="0" distR="0">
            <wp:extent cx="5715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91050"/>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3.2  Data flow diagram — Level 1</w:t>
      </w:r>
    </w:p>
    <w:p>
      <w:pPr>
        <w:spacing w:after="120" w:before="240" w:line="240"/>
        <w:jc w:val="left"/>
      </w:pPr>
      <w:r>
        <w:rPr>
          <w:rFonts w:ascii="Times New Roman" w:cs="Times New Roman" w:eastAsia="Times New Roman" w:hAnsi="Times New Roman"/>
          <w:b/>
          <w:bCs/>
          <w:i w:val="false"/>
          <w:iCs w:val="false"/>
          <w:sz w:val="24"/>
          <w:szCs w:val="24"/>
        </w:rPr>
        <w:t xml:space="preserve">3.3 Layered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codebase is separated into four layers. The presentation layer offers three independent entry points — a Streamlit web interface, a FastAPI service and a command-line interface — all of which call the same orchestrator, so no behaviour is duplicated between them. The agent layer holds the orchestrator and the seven agents. The service layer holds the reusable machinery: ingestion, analysis, retrieval and the language-model abstraction. The data layer holds the knowledge base, the persisted vector indexes and the response cache. No module outside the LLM package imports a vendor SDK, so adding a provider requires one new class and no change anywhere else.</w:t>
      </w:r>
    </w:p>
    <w:p>
      <w:pPr>
        <w:spacing w:after="60" w:before="120" w:line="240" w:lineRule="auto"/>
        <w:jc w:val="center"/>
      </w:pPr>
      <w:r>
        <w:drawing>
          <wp:inline distT="0" distB="0" distL="0" distR="0">
            <wp:extent cx="54292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4181475"/>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3.3  Layered system architecture</w:t>
      </w:r>
    </w:p>
    <w:p>
      <w:r>
        <w:br w:type="page"/>
      </w:r>
    </w:p>
    <w:p>
      <w:pPr>
        <w:spacing w:after="120" w:before="0" w:line="240"/>
        <w:jc w:val="left"/>
      </w:pPr>
      <w:r>
        <w:rPr>
          <w:rFonts w:ascii="Times New Roman" w:cs="Times New Roman" w:eastAsia="Times New Roman" w:hAnsi="Times New Roman"/>
          <w:b/>
          <w:bCs/>
          <w:i w:val="false"/>
          <w:iCs w:val="false"/>
          <w:sz w:val="24"/>
          <w:szCs w:val="24"/>
        </w:rPr>
        <w:t xml:space="preserve">3.4 Class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Two families of data contract are used deliberately. Anything that crosses the language-model boundary is a Pydantic model, so that a structured output can be validated on arrival: QueryPlan and Insight are of this kind. Internal carriers that hold pandas objects are plain dataclasses, because Pydantic should not attempt to serialise a DataFrame. Every field of QueryPlan is required and carries a sentinel for “not specified” — an empty string, a zero or an empty list — because strict schema validation is markedly more reliable that way than with optional or nullable fields.</w:t>
      </w:r>
    </w:p>
    <w:p>
      <w:pPr>
        <w:spacing w:after="60" w:before="120" w:line="240" w:lineRule="auto"/>
        <w:jc w:val="center"/>
      </w:pPr>
      <w:r>
        <w:drawing>
          <wp:inline distT="0" distB="0" distL="0" distR="0">
            <wp:extent cx="5286375"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4981575"/>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3.4  UML class diagram — core data contracts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Every agent derives from a common abstract base and returns the same AgentResult envelope, recording the agent name, whether it succeeded, its payload, any error and its elapsed time. Because the envelope is uniform, the orchestrator contains no per-agent special handling and the execution trace can be rendered directly in the interface. The Chat and Insight agents are alternatives to one another rather than sequential stages: the orchestrator selects one depending on whether the caller wants a conversation or a structured response.</w:t>
      </w:r>
    </w:p>
    <w:p>
      <w:pPr>
        <w:spacing w:after="60" w:before="120" w:line="240" w:lineRule="auto"/>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48025"/>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3.5  UML class diagram — agent hierarchy and orchestrator</w:t>
      </w:r>
    </w:p>
    <w:p>
      <w:r>
        <w:br w:type="page"/>
      </w:r>
    </w:p>
    <w:p>
      <w:pPr>
        <w:spacing w:after="120" w:before="0" w:line="240"/>
        <w:jc w:val="left"/>
      </w:pPr>
      <w:r>
        <w:rPr>
          <w:rFonts w:ascii="Times New Roman" w:cs="Times New Roman" w:eastAsia="Times New Roman" w:hAnsi="Times New Roman"/>
          <w:b/>
          <w:bCs/>
          <w:i w:val="false"/>
          <w:iCs w:val="false"/>
          <w:sz w:val="24"/>
          <w:szCs w:val="24"/>
        </w:rPr>
        <w:t xml:space="preserve">3.5 Sequence of a single question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sequence diagram below traces one conversational question through the system. The optional fragments correspond exactly to the two conditional branches in the orchestrator, and the notes record the decisions that are defended in Chapter 4: the two sampling temperatures, the single repair attempt permitted to the planner, the day-of-year baseline used by the anomaly detector and the rank-based fusion used by the hybrid retriever.</w:t>
      </w:r>
    </w:p>
    <w:p>
      <w:pPr>
        <w:spacing w:after="60" w:before="120" w:line="240" w:lineRule="auto"/>
        <w:jc w:val="center"/>
      </w:pPr>
      <w:r>
        <w:drawing>
          <wp:inline distT="0" distB="0" distL="0" distR="0">
            <wp:extent cx="58102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4314825"/>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3.6  UML sequence diagram — lifecycle of a single question</w:t>
      </w:r>
    </w:p>
    <w:p>
      <w:r>
        <w:br w:type="page"/>
      </w:r>
    </w:p>
    <w:p>
      <w:pPr>
        <w:spacing w:after="160" w:before="0" w:line="240"/>
        <w:jc w:val="center"/>
      </w:pPr>
      <w:r>
        <w:rPr>
          <w:rFonts w:ascii="Times New Roman" w:cs="Times New Roman" w:eastAsia="Times New Roman" w:hAnsi="Times New Roman"/>
          <w:b/>
          <w:bCs/>
          <w:i w:val="false"/>
          <w:iCs w:val="false"/>
          <w:sz w:val="28"/>
          <w:szCs w:val="28"/>
        </w:rPr>
        <w:t xml:space="preserve">CHAPTER  4</w:t>
      </w:r>
    </w:p>
    <w:p>
      <w:pPr>
        <w:spacing w:after="300" w:before="0" w:line="240"/>
        <w:jc w:val="center"/>
      </w:pPr>
      <w:r>
        <w:rPr>
          <w:rFonts w:ascii="Times New Roman" w:cs="Times New Roman" w:eastAsia="Times New Roman" w:hAnsi="Times New Roman"/>
          <w:b/>
          <w:bCs/>
          <w:i w:val="false"/>
          <w:iCs w:val="false"/>
          <w:sz w:val="28"/>
          <w:szCs w:val="28"/>
        </w:rPr>
        <w:t xml:space="preserve">IMPLEMENTATION</w:t>
      </w:r>
    </w:p>
    <w:p>
      <w:pPr>
        <w:spacing w:after="120" w:before="0" w:line="240"/>
        <w:jc w:val="left"/>
      </w:pPr>
      <w:r>
        <w:rPr>
          <w:rFonts w:ascii="Times New Roman" w:cs="Times New Roman" w:eastAsia="Times New Roman" w:hAnsi="Times New Roman"/>
          <w:b/>
          <w:bCs/>
          <w:i w:val="false"/>
          <w:iCs w:val="false"/>
          <w:sz w:val="24"/>
          <w:szCs w:val="24"/>
        </w:rPr>
        <w:t xml:space="preserve">Proposed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proposed system accepts a natural-language question about the weather at any location and returns an explanation grounded in data it has itself computed. Its distinguishing feature is that it reports departure rather than merely magnitude: the interface’s signature element is a departure scale whose centre is the ten-year normal for the current calendar date, with one standard deviation shaded and a marker showing where today actually falls. The same day-of-year normals drive both that headline graphic and the anomaly agent, so the headline and the analysis can never disagree.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Five design decisions carry most of the system’s behaviour, and each was taken for a reason that can be defended.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Open-Meteo was chosen over alternative providers because it requires no API key and because one request shape serves current conditions, a sixteen-day forecast and a reanalysis archive reaching back to 1940. Questions of the form “compared with previous years” therefore need no second integration.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Anomalies are measured against a climatological normal rather than a rolling mean. A plain z-score over the preceding thirty days flags every winter day as cold, which is not an anomaly but January. The detector instead pools each calendar date’s values from a ±7-day window across all baseline years, so “unusual” means unusual for that time of year.</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Daily rainfall is excluded from distribution-based outlier detection when no baseline exists. Rainfall is zero-inflated — most days are exactly zero, so the first and third quartiles are both zero and every wet day becomes an outlier. On a three-year Mumbai series this produced 195 spurious anomalies; routing rainfall to the published India Meteorological Department category thresholds instead reduced that to 41 genuine ones.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Trend claims are gated on the coefficient of determination. Daily weather is largely noise, so a slope alone means little. A fit with R² below 0.1 is reported as stable with low confidence rather than as a trend, and fits are skipped altogether on series shorter than thirty days.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The system always states what it compared against. “Unusual for this time of year” and “unusual compared with the last few weeks” are different claims, and the output says which one it is making.</w:t>
      </w:r>
    </w:p>
    <w:p>
      <w:r>
        <w:br w:type="page"/>
      </w:r>
    </w:p>
    <w:p>
      <w:pPr>
        <w:spacing w:after="120" w:before="0" w:line="240"/>
        <w:jc w:val="left"/>
      </w:pPr>
      <w:r>
        <w:rPr>
          <w:rFonts w:ascii="Times New Roman" w:cs="Times New Roman" w:eastAsia="Times New Roman" w:hAnsi="Times New Roman"/>
          <w:b/>
          <w:bCs/>
          <w:i w:val="false"/>
          <w:iCs w:val="false"/>
          <w:sz w:val="24"/>
          <w:szCs w:val="24"/>
        </w:rPr>
        <w:t xml:space="preserve">Technology Used: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3100"/>
        <w:gridCol w:w="3960"/>
      </w:tblGrid>
      <w:tr>
        <w:trPr>
          <w:cantSplit/>
          <w:tblHeader/>
        </w:trPr>
        <w:tc>
          <w:tcPr>
            <w:tcW w:type="dxa" w:w="23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Layer</w:t>
            </w:r>
          </w:p>
        </w:tc>
        <w:tc>
          <w:tcPr>
            <w:tcW w:type="dxa" w:w="3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Technology</w:t>
            </w:r>
          </w:p>
        </w:tc>
        <w:tc>
          <w:tcPr>
            <w:tcW w:type="dxa" w:w="396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Role in the system</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Language</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Python 3.11</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Entire implementation</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Data contracts</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Pydantic 2</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Schema-validated structured output across the LLM boundary</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Data analysis</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pandas, NumPy</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Time-series handling, statistics, trend fitting, z-scores</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Weather data</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Open-Meteo forecast, archive and geocoding APIs</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Current conditions, 16-day forecast, reanalysis to 1940, place lookup; no key required</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Language model</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Groq (free tier, open-weight) or Anthropic Claude</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Structured planning at T = 0.1 and conversational generation at T = 0.6</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Retrieval</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Hashed TF-IDF over NumPy; sentence-transformers MiniLM; Reciprocal Rank Fusion</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Three interchangeable retrieval backends over the knowledge base</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Web interface</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Streamlit, Plotly</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Chat, map, dashboard and “How it works” tabs</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Mapping</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Folium over OpenStreetMap tiles</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Temperature-coded map with rainfall circles; no key required</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Service interface</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FastAPI, Uvicorn</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REST endpoint with generated documentation</w:t>
            </w:r>
          </w:p>
        </w:tc>
      </w:tr>
      <w:tr>
        <w:trPr>
          <w:cantSplit/>
          <w:tblHeader w:val="false"/>
        </w:trPr>
        <w:tc>
          <w:tcPr>
            <w:tcW w:type="dxa" w:w="23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Testing</w:t>
            </w:r>
          </w:p>
        </w:tc>
        <w:tc>
          <w:tcPr>
            <w:tcW w:type="dxa" w:w="31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pytest</w:t>
            </w:r>
          </w:p>
        </w:tc>
        <w:tc>
          <w:tcPr>
            <w:tcW w:type="dxa" w:w="396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Offline deterministic tests plus one network-marked end-to-end test</w:t>
            </w:r>
          </w:p>
        </w:tc>
      </w:tr>
    </w:tbl>
    <w:p>
      <w:r>
        <w:br w:type="page"/>
      </w:r>
    </w:p>
    <w:p>
      <w:pPr>
        <w:spacing w:after="120" w:before="0" w:line="240"/>
        <w:jc w:val="left"/>
      </w:pPr>
      <w:r>
        <w:rPr>
          <w:rFonts w:ascii="Times New Roman" w:cs="Times New Roman" w:eastAsia="Times New Roman" w:hAnsi="Times New Roman"/>
          <w:b/>
          <w:bCs/>
          <w:i w:val="false"/>
          <w:iCs w:val="false"/>
          <w:sz w:val="24"/>
          <w:szCs w:val="24"/>
        </w:rPr>
        <w:t xml:space="preserve">Imp module Code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five excerpts below are taken from the modules that carry the design decisions described above.</w:t>
      </w:r>
    </w:p>
    <w:p>
      <w:pPr>
        <w:spacing w:after="60" w:before="0" w:line="360"/>
        <w:jc w:val="both"/>
      </w:pPr>
      <w:r>
        <w:rPr>
          <w:rFonts w:ascii="Times New Roman" w:cs="Times New Roman" w:eastAsia="Times New Roman" w:hAnsi="Times New Roman"/>
          <w:b/>
          <w:bCs/>
          <w:i w:val="false"/>
          <w:iCs w:val="false"/>
          <w:sz w:val="24"/>
          <w:szCs w:val="24"/>
        </w:rPr>
        <w:t xml:space="preserve">(a)  The planning contract.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Every field is required and carries a sentinel for “not specified”, which makes strict validation far more reliable than optional fields would allow.</w:t>
      </w:r>
    </w:p>
    <w:tbl>
      <w:tblPr>
        <w:tblW w:type="dxa" w:w="9360"/>
        <w:tblBorders>
          <w:top w:val="single" w:color="999999" w:sz="4"/>
          <w:left w:val="single" w:color="999999" w:sz="4"/>
          <w:bottom w:val="single" w:color="999999" w:sz="4"/>
          <w:right w:val="single" w:color="999999" w:sz="4"/>
          <w:insideH w:val="none"/>
          <w:insideV w:val="none"/>
        </w:tblBorders>
      </w:tblPr>
      <w:tblGrid>
        <w:gridCol w:w="9360"/>
      </w:tblGrid>
      <w:tr>
        <w:tc>
          <w:tcPr>
            <w:tcW w:type="dxa" w:w="9360"/>
            <w:shd w:fill="F7F7F5" w:color="auto" w:val="clear"/>
            <w:tcMar>
              <w:top w:type="dxa" w:w="120"/>
              <w:left w:type="dxa" w:w="160"/>
              <w:bottom w:type="dxa" w:w="120"/>
              <w:right w:type="dxa" w:w="120"/>
            </w:tcMar>
          </w:tcPr>
          <w:p>
            <w:pPr>
              <w:spacing w:after="0" w:line="200"/>
            </w:pPr>
            <w:r>
              <w:rPr>
                <w:rFonts w:ascii="Courier New" w:cs="Courier New" w:eastAsia="Courier New" w:hAnsi="Courier New"/>
                <w:sz w:val="18"/>
                <w:szCs w:val="18"/>
              </w:rPr>
              <w:t xml:space="preserve">class QueryPlan(BaseModel):</w:t>
            </w:r>
          </w:p>
          <w:p>
            <w:pPr>
              <w:spacing w:after="0" w:line="200"/>
            </w:pPr>
            <w:r>
              <w:rPr>
                <w:rFonts w:ascii="Courier New" w:cs="Courier New" w:eastAsia="Courier New" w:hAnsi="Courier New"/>
                <w:sz w:val="18"/>
                <w:szCs w:val="18"/>
              </w:rPr>
              <w:t xml:space="preserve">    """What the Planner agent decides before any data is fetched."""</w:t>
            </w:r>
          </w:p>
          <w:p>
            <w:pPr>
              <w:spacing w:after="0" w:line="200"/>
            </w:pPr>
            <w:r>
              <w:rPr>
                <w:rFonts w:ascii="Courier New" w:cs="Courier New" w:eastAsia="Courier New" w:hAnsi="Courier New"/>
                <w:sz w:val="18"/>
                <w:szCs w:val="18"/>
              </w:rPr>
              <w:t xml:space="preserve"/>
            </w:r>
          </w:p>
          <w:p>
            <w:pPr>
              <w:spacing w:after="0" w:line="200"/>
            </w:pPr>
            <w:r>
              <w:rPr>
                <w:rFonts w:ascii="Courier New" w:cs="Courier New" w:eastAsia="Courier New" w:hAnsi="Courier New"/>
                <w:sz w:val="18"/>
                <w:szCs w:val="18"/>
              </w:rPr>
              <w:t xml:space="preserve">    intent: Intent        = Field(description="current | forecast | trend |"</w:t>
            </w:r>
          </w:p>
          <w:p>
            <w:pPr>
              <w:spacing w:after="0" w:line="200"/>
            </w:pPr>
            <w:r>
              <w:rPr>
                <w:rFonts w:ascii="Courier New" w:cs="Courier New" w:eastAsia="Courier New" w:hAnsi="Courier New"/>
                <w:sz w:val="18"/>
                <w:szCs w:val="18"/>
              </w:rPr>
              <w:t xml:space="preserve">                                              " comparison | anomaly | general")</w:t>
            </w:r>
          </w:p>
          <w:p>
            <w:pPr>
              <w:spacing w:after="0" w:line="200"/>
            </w:pPr>
            <w:r>
              <w:rPr>
                <w:rFonts w:ascii="Courier New" w:cs="Courier New" w:eastAsia="Courier New" w:hAnsi="Courier New"/>
                <w:sz w:val="18"/>
                <w:szCs w:val="18"/>
              </w:rPr>
              <w:t xml:space="preserve">    location: str         = Field(description="Place name. '' if none given.")</w:t>
            </w:r>
          </w:p>
          <w:p>
            <w:pPr>
              <w:spacing w:after="0" w:line="200"/>
            </w:pPr>
            <w:r>
              <w:rPr>
                <w:rFonts w:ascii="Courier New" w:cs="Courier New" w:eastAsia="Courier New" w:hAnsi="Courier New"/>
                <w:sz w:val="18"/>
                <w:szCs w:val="18"/>
              </w:rPr>
              <w:t xml:space="preserve">    start_date: str       = Field(description="YYYY-MM-DD, or ''.")</w:t>
            </w:r>
          </w:p>
          <w:p>
            <w:pPr>
              <w:spacing w:after="0" w:line="200"/>
            </w:pPr>
            <w:r>
              <w:rPr>
                <w:rFonts w:ascii="Courier New" w:cs="Courier New" w:eastAsia="Courier New" w:hAnsi="Courier New"/>
                <w:sz w:val="18"/>
                <w:szCs w:val="18"/>
              </w:rPr>
              <w:t xml:space="preserve">    end_date: str         = Field(description="YYYY-MM-DD, or ''.")</w:t>
            </w:r>
          </w:p>
          <w:p>
            <w:pPr>
              <w:spacing w:after="0" w:line="200"/>
            </w:pPr>
            <w:r>
              <w:rPr>
                <w:rFonts w:ascii="Courier New" w:cs="Courier New" w:eastAsia="Courier New" w:hAnsi="Courier New"/>
                <w:sz w:val="18"/>
                <w:szCs w:val="18"/>
              </w:rPr>
              <w:t xml:space="preserve">    variables: list[str]  = Field(description="temperature | humidity |"</w:t>
            </w:r>
          </w:p>
          <w:p>
            <w:pPr>
              <w:spacing w:after="0" w:line="200"/>
            </w:pPr>
            <w:r>
              <w:rPr>
                <w:rFonts w:ascii="Courier New" w:cs="Courier New" w:eastAsia="Courier New" w:hAnsi="Courier New"/>
                <w:sz w:val="18"/>
                <w:szCs w:val="18"/>
              </w:rPr>
              <w:t xml:space="preserve">                                              " rainfall | wind_speed | pressure")</w:t>
            </w:r>
          </w:p>
          <w:p>
            <w:pPr>
              <w:spacing w:after="0" w:line="200"/>
            </w:pPr>
            <w:r>
              <w:rPr>
                <w:rFonts w:ascii="Courier New" w:cs="Courier New" w:eastAsia="Courier New" w:hAnsi="Courier New"/>
                <w:sz w:val="18"/>
                <w:szCs w:val="18"/>
              </w:rPr>
              <w:t xml:space="preserve">    comparison_years: int = Field(description="0 if no comparison is asked for.")</w:t>
            </w:r>
          </w:p>
          <w:p>
            <w:pPr>
              <w:spacing w:after="0" w:line="200"/>
            </w:pPr>
            <w:r>
              <w:rPr>
                <w:rFonts w:ascii="Courier New" w:cs="Courier New" w:eastAsia="Courier New" w:hAnsi="Courier New"/>
                <w:sz w:val="18"/>
                <w:szCs w:val="18"/>
              </w:rPr>
              <w:t xml:space="preserve">    needs_history: bool   = Field(description="True if past observations required.")</w:t>
            </w:r>
          </w:p>
          <w:p>
            <w:pPr>
              <w:spacing w:after="0" w:line="200"/>
            </w:pPr>
            <w:r>
              <w:rPr>
                <w:rFonts w:ascii="Courier New" w:cs="Courier New" w:eastAsia="Courier New" w:hAnsi="Courier New"/>
                <w:sz w:val="18"/>
                <w:szCs w:val="18"/>
              </w:rPr>
              <w:t xml:space="preserve">    needs_forecast: bool  = Field(description="True if predictions are required.")</w:t>
            </w:r>
          </w:p>
          <w:p>
            <w:pPr>
              <w:spacing w:after="0" w:line="200"/>
            </w:pPr>
            <w:r>
              <w:rPr>
                <w:rFonts w:ascii="Courier New" w:cs="Courier New" w:eastAsia="Courier New" w:hAnsi="Courier New"/>
                <w:sz w:val="18"/>
                <w:szCs w:val="18"/>
              </w:rPr>
              <w:t xml:space="preserve">    needs_knowledge: bool = Field(description="True if background would help.")</w:t>
            </w:r>
          </w:p>
          <w:p>
            <w:pPr>
              <w:spacing w:after="0" w:line="200"/>
            </w:pPr>
            <w:r>
              <w:rPr>
                <w:rFonts w:ascii="Courier New" w:cs="Courier New" w:eastAsia="Courier New" w:hAnsi="Courier New"/>
                <w:sz w:val="18"/>
                <w:szCs w:val="18"/>
              </w:rPr>
              <w:t xml:space="preserve">    rationale: str        = Field(description="One sentence on the routing.")</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Listing 4.1  src/core/models.py — the structured plan every agent reads</w:t>
      </w:r>
    </w:p>
    <w:p>
      <w:pPr>
        <w:spacing w:after="60" w:before="0" w:line="360"/>
        <w:jc w:val="both"/>
      </w:pPr>
      <w:r>
        <w:rPr>
          <w:rFonts w:ascii="Times New Roman" w:cs="Times New Roman" w:eastAsia="Times New Roman" w:hAnsi="Times New Roman"/>
          <w:b/>
          <w:bCs/>
          <w:i w:val="false"/>
          <w:iCs w:val="false"/>
          <w:sz w:val="24"/>
          <w:szCs w:val="24"/>
        </w:rPr>
        <w:t xml:space="preserve">(b)  Conditional routing in the orchestrator.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execution order is fixed but the path is conditional; each agent is skipped when the plan says it is not needed, and every step is appended to the trace.</w:t>
      </w:r>
    </w:p>
    <w:tbl>
      <w:tblPr>
        <w:tblW w:type="dxa" w:w="9360"/>
        <w:tblBorders>
          <w:top w:val="single" w:color="999999" w:sz="4"/>
          <w:left w:val="single" w:color="999999" w:sz="4"/>
          <w:bottom w:val="single" w:color="999999" w:sz="4"/>
          <w:right w:val="single" w:color="999999" w:sz="4"/>
          <w:insideH w:val="none"/>
          <w:insideV w:val="none"/>
        </w:tblBorders>
      </w:tblPr>
      <w:tblGrid>
        <w:gridCol w:w="9360"/>
      </w:tblGrid>
      <w:tr>
        <w:tc>
          <w:tcPr>
            <w:tcW w:type="dxa" w:w="9360"/>
            <w:shd w:fill="F7F7F5" w:color="auto" w:val="clear"/>
            <w:tcMar>
              <w:top w:type="dxa" w:w="120"/>
              <w:left w:type="dxa" w:w="160"/>
              <w:bottom w:type="dxa" w:w="120"/>
              <w:right w:type="dxa" w:w="120"/>
            </w:tcMar>
          </w:tcPr>
          <w:p>
            <w:pPr>
              <w:spacing w:after="0" w:line="200"/>
            </w:pPr>
            <w:r>
              <w:rPr>
                <w:rFonts w:ascii="Courier New" w:cs="Courier New" w:eastAsia="Courier New" w:hAnsi="Courier New"/>
                <w:sz w:val="18"/>
                <w:szCs w:val="18"/>
              </w:rPr>
              <w:t xml:space="preserve"># 4. Anomaly -------------------------------------------------------</w:t>
            </w:r>
          </w:p>
          <w:p>
            <w:pPr>
              <w:spacing w:after="0" w:line="200"/>
            </w:pPr>
            <w:r>
              <w:rPr>
                <w:rFonts w:ascii="Courier New" w:cs="Courier New" w:eastAsia="Courier New" w:hAnsi="Courier New"/>
                <w:sz w:val="18"/>
                <w:szCs w:val="18"/>
              </w:rPr>
              <w:t xml:space="preserve">if result.plan.intent in {"anomaly", "comparison", "trend", "forecast"}:</w:t>
            </w:r>
          </w:p>
          <w:p>
            <w:pPr>
              <w:spacing w:after="0" w:line="200"/>
            </w:pPr>
            <w:r>
              <w:rPr>
                <w:rFonts w:ascii="Courier New" w:cs="Courier New" w:eastAsia="Courier New" w:hAnsi="Courier New"/>
                <w:sz w:val="18"/>
                <w:szCs w:val="18"/>
              </w:rPr>
              <w:t xml:space="preserve">    step = self.anomaly.run(context)</w:t>
            </w:r>
          </w:p>
          <w:p>
            <w:pPr>
              <w:spacing w:after="0" w:line="200"/>
            </w:pPr>
            <w:r>
              <w:rPr>
                <w:rFonts w:ascii="Courier New" w:cs="Courier New" w:eastAsia="Courier New" w:hAnsi="Courier New"/>
                <w:sz w:val="18"/>
                <w:szCs w:val="18"/>
              </w:rPr>
              <w:t xml:space="preserve">    result.trace.append(step)</w:t>
            </w:r>
          </w:p>
          <w:p>
            <w:pPr>
              <w:spacing w:after="0" w:line="200"/>
            </w:pPr>
            <w:r>
              <w:rPr>
                <w:rFonts w:ascii="Courier New" w:cs="Courier New" w:eastAsia="Courier New" w:hAnsi="Courier New"/>
                <w:sz w:val="18"/>
                <w:szCs w:val="18"/>
              </w:rPr>
              <w:t xml:space="preserve">    context["anomalies"] = result.anomalies = step.data if step.ok else {}</w:t>
            </w:r>
          </w:p>
          <w:p>
            <w:pPr>
              <w:spacing w:after="0" w:line="200"/>
            </w:pPr>
            <w:r>
              <w:rPr>
                <w:rFonts w:ascii="Courier New" w:cs="Courier New" w:eastAsia="Courier New" w:hAnsi="Courier New"/>
                <w:sz w:val="18"/>
                <w:szCs w:val="18"/>
              </w:rPr>
              <w:t xml:space="preserve">    if step.ok:</w:t>
            </w:r>
          </w:p>
          <w:p>
            <w:pPr>
              <w:spacing w:after="0" w:line="200"/>
            </w:pPr>
            <w:r>
              <w:rPr>
                <w:rFonts w:ascii="Courier New" w:cs="Courier New" w:eastAsia="Courier New" w:hAnsi="Courier New"/>
                <w:sz w:val="18"/>
                <w:szCs w:val="18"/>
              </w:rPr>
              <w:t xml:space="preserve">        step.note = f"{step.data.get('total', 0)} anomalies"</w:t>
            </w:r>
          </w:p>
          <w:p>
            <w:pPr>
              <w:spacing w:after="0" w:line="200"/>
            </w:pPr>
            <w:r>
              <w:rPr>
                <w:rFonts w:ascii="Courier New" w:cs="Courier New" w:eastAsia="Courier New" w:hAnsi="Courier New"/>
                <w:sz w:val="18"/>
                <w:szCs w:val="18"/>
              </w:rPr>
              <w:t xml:space="preserve"/>
            </w:r>
          </w:p>
          <w:p>
            <w:pPr>
              <w:spacing w:after="0" w:line="200"/>
            </w:pPr>
            <w:r>
              <w:rPr>
                <w:rFonts w:ascii="Courier New" w:cs="Courier New" w:eastAsia="Courier New" w:hAnsi="Courier New"/>
                <w:sz w:val="18"/>
                <w:szCs w:val="18"/>
              </w:rPr>
              <w:t xml:space="preserve"># 5. Retrieval -----------------------------------------------------</w:t>
            </w:r>
          </w:p>
          <w:p>
            <w:pPr>
              <w:spacing w:after="0" w:line="200"/>
            </w:pPr>
            <w:r>
              <w:rPr>
                <w:rFonts w:ascii="Courier New" w:cs="Courier New" w:eastAsia="Courier New" w:hAnsi="Courier New"/>
                <w:sz w:val="18"/>
                <w:szCs w:val="18"/>
              </w:rPr>
              <w:t xml:space="preserve">if result.plan.needs_knowledge:</w:t>
            </w:r>
          </w:p>
          <w:p>
            <w:pPr>
              <w:spacing w:after="0" w:line="200"/>
            </w:pPr>
            <w:r>
              <w:rPr>
                <w:rFonts w:ascii="Courier New" w:cs="Courier New" w:eastAsia="Courier New" w:hAnsi="Courier New"/>
                <w:sz w:val="18"/>
                <w:szCs w:val="18"/>
              </w:rPr>
              <w:t xml:space="preserve">    step = self.retrieval.run(context)</w:t>
            </w:r>
          </w:p>
          <w:p>
            <w:pPr>
              <w:spacing w:after="0" w:line="200"/>
            </w:pPr>
            <w:r>
              <w:rPr>
                <w:rFonts w:ascii="Courier New" w:cs="Courier New" w:eastAsia="Courier New" w:hAnsi="Courier New"/>
                <w:sz w:val="18"/>
                <w:szCs w:val="18"/>
              </w:rPr>
              <w:t xml:space="preserve">    result.trace.append(step)</w:t>
            </w:r>
          </w:p>
          <w:p>
            <w:pPr>
              <w:spacing w:after="0" w:line="200"/>
            </w:pPr>
            <w:r>
              <w:rPr>
                <w:rFonts w:ascii="Courier New" w:cs="Courier New" w:eastAsia="Courier New" w:hAnsi="Courier New"/>
                <w:sz w:val="18"/>
                <w:szCs w:val="18"/>
              </w:rPr>
              <w:t xml:space="preserve">    context["documents"] = result.documents = step.data if step.ok else []</w:t>
            </w:r>
          </w:p>
          <w:p>
            <w:pPr>
              <w:spacing w:after="0" w:line="200"/>
            </w:pPr>
            <w:r>
              <w:rPr>
                <w:rFonts w:ascii="Courier New" w:cs="Courier New" w:eastAsia="Courier New" w:hAnsi="Courier New"/>
                <w:sz w:val="18"/>
                <w:szCs w:val="18"/>
              </w:rPr>
              <w:t xml:space="preserve">    if step.ok:</w:t>
            </w:r>
          </w:p>
          <w:p>
            <w:pPr>
              <w:spacing w:after="0" w:line="200"/>
            </w:pPr>
            <w:r>
              <w:rPr>
                <w:rFonts w:ascii="Courier New" w:cs="Courier New" w:eastAsia="Courier New" w:hAnsi="Courier New"/>
                <w:sz w:val="18"/>
                <w:szCs w:val="18"/>
              </w:rPr>
              <w:t xml:space="preserve">        step.note = f"{len(step.data)} chunks"</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Listing 4.2  src/agents/orchestrator.py — the plan decides which agents run</w:t>
      </w:r>
    </w:p>
    <w:p>
      <w:r>
        <w:br w:type="page"/>
      </w:r>
    </w:p>
    <w:p>
      <w:pPr>
        <w:spacing w:after="60" w:before="0" w:line="360"/>
        <w:jc w:val="both"/>
      </w:pPr>
      <w:r>
        <w:rPr>
          <w:rFonts w:ascii="Times New Roman" w:cs="Times New Roman" w:eastAsia="Times New Roman" w:hAnsi="Times New Roman"/>
          <w:b/>
          <w:bCs/>
          <w:i w:val="false"/>
          <w:iCs w:val="false"/>
          <w:sz w:val="24"/>
          <w:szCs w:val="24"/>
        </w:rPr>
        <w:t xml:space="preserve">(c)  Climatological normals.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For each calendar date the mean and standard deviation are pooled from a ±7-day window across every baseline year, with circular distance so that 31 December and 1 January are neighbours.</w:t>
      </w:r>
    </w:p>
    <w:tbl>
      <w:tblPr>
        <w:tblW w:type="dxa" w:w="9360"/>
        <w:tblBorders>
          <w:top w:val="single" w:color="999999" w:sz="4"/>
          <w:left w:val="single" w:color="999999" w:sz="4"/>
          <w:bottom w:val="single" w:color="999999" w:sz="4"/>
          <w:right w:val="single" w:color="999999" w:sz="4"/>
          <w:insideH w:val="none"/>
          <w:insideV w:val="none"/>
        </w:tblBorders>
      </w:tblPr>
      <w:tblGrid>
        <w:gridCol w:w="9360"/>
      </w:tblGrid>
      <w:tr>
        <w:tc>
          <w:tcPr>
            <w:tcW w:type="dxa" w:w="9360"/>
            <w:shd w:fill="F7F7F5" w:color="auto" w:val="clear"/>
            <w:tcMar>
              <w:top w:type="dxa" w:w="120"/>
              <w:left w:type="dxa" w:w="160"/>
              <w:bottom w:type="dxa" w:w="120"/>
              <w:right w:type="dxa" w:w="120"/>
            </w:tcMar>
          </w:tcPr>
          <w:p>
            <w:pPr>
              <w:spacing w:after="0" w:line="200"/>
            </w:pPr>
            <w:r>
              <w:rPr>
                <w:rFonts w:ascii="Courier New" w:cs="Courier New" w:eastAsia="Courier New" w:hAnsi="Courier New"/>
                <w:sz w:val="18"/>
                <w:szCs w:val="18"/>
              </w:rPr>
              <w:t xml:space="preserve">def _doy_normals(baseline, column):</w:t>
            </w:r>
          </w:p>
          <w:p>
            <w:pPr>
              <w:spacing w:after="0" w:line="200"/>
            </w:pPr>
            <w:r>
              <w:rPr>
                <w:rFonts w:ascii="Courier New" w:cs="Courier New" w:eastAsia="Courier New" w:hAnsi="Courier New"/>
                <w:sz w:val="18"/>
                <w:szCs w:val="18"/>
              </w:rPr>
              <w:t xml:space="preserve">    """day-of-year -&gt; (mean, std), pooled over a +/-DOY_WINDOW window."""</w:t>
            </w:r>
          </w:p>
          <w:p>
            <w:pPr>
              <w:spacing w:after="0" w:line="200"/>
            </w:pPr>
            <w:r>
              <w:rPr>
                <w:rFonts w:ascii="Courier New" w:cs="Courier New" w:eastAsia="Courier New" w:hAnsi="Courier New"/>
                <w:sz w:val="18"/>
                <w:szCs w:val="18"/>
              </w:rPr>
              <w:t xml:space="preserve">    s = baseline[column].dropna()</w:t>
            </w:r>
          </w:p>
          <w:p>
            <w:pPr>
              <w:spacing w:after="0" w:line="200"/>
            </w:pPr>
            <w:r>
              <w:rPr>
                <w:rFonts w:ascii="Courier New" w:cs="Courier New" w:eastAsia="Courier New" w:hAnsi="Courier New"/>
                <w:sz w:val="18"/>
                <w:szCs w:val="18"/>
              </w:rPr>
              <w:t xml:space="preserve">    doy = s.index.dayofyear</w:t>
            </w:r>
          </w:p>
          <w:p>
            <w:pPr>
              <w:spacing w:after="0" w:line="200"/>
            </w:pPr>
            <w:r>
              <w:rPr>
                <w:rFonts w:ascii="Courier New" w:cs="Courier New" w:eastAsia="Courier New" w:hAnsi="Courier New"/>
                <w:sz w:val="18"/>
                <w:szCs w:val="18"/>
              </w:rPr>
              <w:t xml:space="preserve">    normals = {}</w:t>
            </w:r>
          </w:p>
          <w:p>
            <w:pPr>
              <w:spacing w:after="0" w:line="200"/>
            </w:pPr>
            <w:r>
              <w:rPr>
                <w:rFonts w:ascii="Courier New" w:cs="Courier New" w:eastAsia="Courier New" w:hAnsi="Courier New"/>
                <w:sz w:val="18"/>
                <w:szCs w:val="18"/>
              </w:rPr>
              <w:t xml:space="preserve">    for target in range(1, 367):</w:t>
            </w:r>
          </w:p>
          <w:p>
            <w:pPr>
              <w:spacing w:after="0" w:line="200"/>
            </w:pPr>
            <w:r>
              <w:rPr>
                <w:rFonts w:ascii="Courier New" w:cs="Courier New" w:eastAsia="Courier New" w:hAnsi="Courier New"/>
                <w:sz w:val="18"/>
                <w:szCs w:val="18"/>
              </w:rPr>
              <w:t xml:space="preserve">        # Circular distance so 31 Dec and 1 Jan are neighbours.</w:t>
            </w:r>
          </w:p>
          <w:p>
            <w:pPr>
              <w:spacing w:after="0" w:line="200"/>
            </w:pPr>
            <w:r>
              <w:rPr>
                <w:rFonts w:ascii="Courier New" w:cs="Courier New" w:eastAsia="Courier New" w:hAnsi="Courier New"/>
                <w:sz w:val="18"/>
                <w:szCs w:val="18"/>
              </w:rPr>
              <w:t xml:space="preserve">        diff = np.abs(doy - target)</w:t>
            </w:r>
          </w:p>
          <w:p>
            <w:pPr>
              <w:spacing w:after="0" w:line="200"/>
            </w:pPr>
            <w:r>
              <w:rPr>
                <w:rFonts w:ascii="Courier New" w:cs="Courier New" w:eastAsia="Courier New" w:hAnsi="Courier New"/>
                <w:sz w:val="18"/>
                <w:szCs w:val="18"/>
              </w:rPr>
              <w:t xml:space="preserve">        diff = np.minimum(diff, 366 - diff)</w:t>
            </w:r>
          </w:p>
          <w:p>
            <w:pPr>
              <w:spacing w:after="0" w:line="200"/>
            </w:pPr>
            <w:r>
              <w:rPr>
                <w:rFonts w:ascii="Courier New" w:cs="Courier New" w:eastAsia="Courier New" w:hAnsi="Courier New"/>
                <w:sz w:val="18"/>
                <w:szCs w:val="18"/>
              </w:rPr>
              <w:t xml:space="preserve">        window = s[diff &lt;= DOY_WINDOW]</w:t>
            </w:r>
          </w:p>
          <w:p>
            <w:pPr>
              <w:spacing w:after="0" w:line="200"/>
            </w:pPr>
            <w:r>
              <w:rPr>
                <w:rFonts w:ascii="Courier New" w:cs="Courier New" w:eastAsia="Courier New" w:hAnsi="Courier New"/>
                <w:sz w:val="18"/>
                <w:szCs w:val="18"/>
              </w:rPr>
              <w:t xml:space="preserve">        if len(window) &gt;= 3:</w:t>
            </w:r>
          </w:p>
          <w:p>
            <w:pPr>
              <w:spacing w:after="0" w:line="200"/>
            </w:pPr>
            <w:r>
              <w:rPr>
                <w:rFonts w:ascii="Courier New" w:cs="Courier New" w:eastAsia="Courier New" w:hAnsi="Courier New"/>
                <w:sz w:val="18"/>
                <w:szCs w:val="18"/>
              </w:rPr>
              <w:t xml:space="preserve">            normals[target] = (float(window.mean()), float(window.std()))</w:t>
            </w:r>
          </w:p>
          <w:p>
            <w:pPr>
              <w:spacing w:after="0" w:line="200"/>
            </w:pPr>
            <w:r>
              <w:rPr>
                <w:rFonts w:ascii="Courier New" w:cs="Courier New" w:eastAsia="Courier New" w:hAnsi="Courier New"/>
                <w:sz w:val="18"/>
                <w:szCs w:val="18"/>
              </w:rPr>
              <w:t xml:space="preserve">    return normals</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Listing 4.3  src/analysis/anomalies.py — the baseline that gives “unusual” a meaning</w:t>
      </w:r>
    </w:p>
    <w:p>
      <w:pPr>
        <w:spacing w:after="60" w:before="0" w:line="360"/>
        <w:jc w:val="both"/>
      </w:pPr>
      <w:r>
        <w:rPr>
          <w:rFonts w:ascii="Times New Roman" w:cs="Times New Roman" w:eastAsia="Times New Roman" w:hAnsi="Times New Roman"/>
          <w:b/>
          <w:bCs/>
          <w:i w:val="false"/>
          <w:iCs w:val="false"/>
          <w:sz w:val="24"/>
          <w:szCs w:val="24"/>
        </w:rPr>
        <w:t xml:space="preserve">(d)  Rainfall categories.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Published India Meteorological Department thresholds replace distribution-based outlier detection for daily rainfall, and give the language model concrete vocabulary instead of raw millimetres.</w:t>
      </w:r>
    </w:p>
    <w:tbl>
      <w:tblPr>
        <w:tblW w:type="dxa" w:w="9360"/>
        <w:tblBorders>
          <w:top w:val="single" w:color="999999" w:sz="4"/>
          <w:left w:val="single" w:color="999999" w:sz="4"/>
          <w:bottom w:val="single" w:color="999999" w:sz="4"/>
          <w:right w:val="single" w:color="999999" w:sz="4"/>
          <w:insideH w:val="none"/>
          <w:insideV w:val="none"/>
        </w:tblBorders>
      </w:tblPr>
      <w:tblGrid>
        <w:gridCol w:w="9360"/>
      </w:tblGrid>
      <w:tr>
        <w:tc>
          <w:tcPr>
            <w:tcW w:type="dxa" w:w="9360"/>
            <w:shd w:fill="F7F7F5" w:color="auto" w:val="clear"/>
            <w:tcMar>
              <w:top w:type="dxa" w:w="120"/>
              <w:left w:type="dxa" w:w="160"/>
              <w:bottom w:type="dxa" w:w="120"/>
              <w:right w:type="dxa" w:w="120"/>
            </w:tcMar>
          </w:tcPr>
          <w:p>
            <w:pPr>
              <w:spacing w:after="0" w:line="200"/>
            </w:pPr>
            <w:r>
              <w:rPr>
                <w:rFonts w:ascii="Courier New" w:cs="Courier New" w:eastAsia="Courier New" w:hAnsi="Courier New"/>
                <w:sz w:val="18"/>
                <w:szCs w:val="18"/>
              </w:rPr>
              <w:t xml:space="preserve"># India Meteorological Department 24-hour rainfall categories (mm),</w:t>
            </w:r>
          </w:p>
          <w:p>
            <w:pPr>
              <w:spacing w:after="0" w:line="200"/>
            </w:pPr>
            <w:r>
              <w:rPr>
                <w:rFonts w:ascii="Courier New" w:cs="Courier New" w:eastAsia="Courier New" w:hAnsi="Courier New"/>
                <w:sz w:val="18"/>
                <w:szCs w:val="18"/>
              </w:rPr>
              <w:t xml:space="preserve"># ordered high -&gt; low so the first match wins.</w:t>
            </w:r>
          </w:p>
          <w:p>
            <w:pPr>
              <w:spacing w:after="0" w:line="200"/>
            </w:pPr>
            <w:r>
              <w:rPr>
                <w:rFonts w:ascii="Courier New" w:cs="Courier New" w:eastAsia="Courier New" w:hAnsi="Courier New"/>
                <w:sz w:val="18"/>
                <w:szCs w:val="18"/>
              </w:rPr>
              <w:t xml:space="preserve">RAINFALL_CATEGORIES = [</w:t>
            </w:r>
          </w:p>
          <w:p>
            <w:pPr>
              <w:spacing w:after="0" w:line="200"/>
            </w:pPr>
            <w:r>
              <w:rPr>
                <w:rFonts w:ascii="Courier New" w:cs="Courier New" w:eastAsia="Courier New" w:hAnsi="Courier New"/>
                <w:sz w:val="18"/>
                <w:szCs w:val="18"/>
              </w:rPr>
              <w:t xml:space="preserve">    (204.5, "extremely heavy rainfall"),</w:t>
            </w:r>
          </w:p>
          <w:p>
            <w:pPr>
              <w:spacing w:after="0" w:line="200"/>
            </w:pPr>
            <w:r>
              <w:rPr>
                <w:rFonts w:ascii="Courier New" w:cs="Courier New" w:eastAsia="Courier New" w:hAnsi="Courier New"/>
                <w:sz w:val="18"/>
                <w:szCs w:val="18"/>
              </w:rPr>
              <w:t xml:space="preserve">    (115.6, "very heavy rainfall"),</w:t>
            </w:r>
          </w:p>
          <w:p>
            <w:pPr>
              <w:spacing w:after="0" w:line="200"/>
            </w:pPr>
            <w:r>
              <w:rPr>
                <w:rFonts w:ascii="Courier New" w:cs="Courier New" w:eastAsia="Courier New" w:hAnsi="Courier New"/>
                <w:sz w:val="18"/>
                <w:szCs w:val="18"/>
              </w:rPr>
              <w:t xml:space="preserve">    (64.5,  "heavy rainfall"),</w:t>
            </w:r>
          </w:p>
          <w:p>
            <w:pPr>
              <w:spacing w:after="0" w:line="200"/>
            </w:pPr>
            <w:r>
              <w:rPr>
                <w:rFonts w:ascii="Courier New" w:cs="Courier New" w:eastAsia="Courier New" w:hAnsi="Courier New"/>
                <w:sz w:val="18"/>
                <w:szCs w:val="18"/>
              </w:rPr>
              <w:t xml:space="preserve">    (15.6,  "moderate rainfall"),</w:t>
            </w:r>
          </w:p>
          <w:p>
            <w:pPr>
              <w:spacing w:after="0" w:line="200"/>
            </w:pPr>
            <w:r>
              <w:rPr>
                <w:rFonts w:ascii="Courier New" w:cs="Courier New" w:eastAsia="Courier New" w:hAnsi="Courier New"/>
                <w:sz w:val="18"/>
                <w:szCs w:val="18"/>
              </w:rPr>
              <w:t xml:space="preserve">    (2.5,   "light rainfall"),</w:t>
            </w:r>
          </w:p>
          <w:p>
            <w:pPr>
              <w:spacing w:after="0" w:line="200"/>
            </w:pPr>
            <w:r>
              <w:rPr>
                <w:rFonts w:ascii="Courier New" w:cs="Courier New" w:eastAsia="Courier New" w:hAnsi="Courier New"/>
                <w:sz w:val="18"/>
                <w:szCs w:val="18"/>
              </w:rPr>
              <w:t xml:space="preserve">    (0.1,   "very light rainfall"),</w:t>
            </w:r>
          </w:p>
          <w:p>
            <w:pPr>
              <w:spacing w:after="0" w:line="200"/>
            </w:pPr>
            <w:r>
              <w:rPr>
                <w:rFonts w:ascii="Courier New" w:cs="Courier New" w:eastAsia="Courier New" w:hAnsi="Courier New"/>
                <w:sz w:val="18"/>
                <w:szCs w:val="18"/>
              </w:rPr>
              <w:t xml:space="preserve">]</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Listing 4.4  src/analysis/anomalies.py — official thresholds rather than invented ones</w:t>
      </w:r>
    </w:p>
    <w:p>
      <w:pPr>
        <w:spacing w:after="60" w:before="0" w:line="360"/>
        <w:jc w:val="both"/>
      </w:pPr>
      <w:r>
        <w:rPr>
          <w:rFonts w:ascii="Times New Roman" w:cs="Times New Roman" w:eastAsia="Times New Roman" w:hAnsi="Times New Roman"/>
          <w:b/>
          <w:bCs/>
          <w:i w:val="false"/>
          <w:iCs w:val="false"/>
          <w:sz w:val="24"/>
          <w:szCs w:val="24"/>
        </w:rPr>
        <w:t xml:space="preserve">(e)  Reciprocal Rank Fusion.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hashed TF-IDF cosine and a MiniLM cosine are not on comparable scales, so averaging them would simply let whichever backend produces larger numbers win. Fusing by rank avoids the comparison entirely; k = 60 follows the original formulation [6].</w:t>
      </w:r>
    </w:p>
    <w:tbl>
      <w:tblPr>
        <w:tblW w:type="dxa" w:w="9360"/>
        <w:tblBorders>
          <w:top w:val="single" w:color="999999" w:sz="4"/>
          <w:left w:val="single" w:color="999999" w:sz="4"/>
          <w:bottom w:val="single" w:color="999999" w:sz="4"/>
          <w:right w:val="single" w:color="999999" w:sz="4"/>
          <w:insideH w:val="none"/>
          <w:insideV w:val="none"/>
        </w:tblBorders>
      </w:tblPr>
      <w:tblGrid>
        <w:gridCol w:w="9360"/>
      </w:tblGrid>
      <w:tr>
        <w:tc>
          <w:tcPr>
            <w:tcW w:type="dxa" w:w="9360"/>
            <w:shd w:fill="F7F7F5" w:color="auto" w:val="clear"/>
            <w:tcMar>
              <w:top w:type="dxa" w:w="120"/>
              <w:left w:type="dxa" w:w="160"/>
              <w:bottom w:type="dxa" w:w="120"/>
              <w:right w:type="dxa" w:w="120"/>
            </w:tcMar>
          </w:tcPr>
          <w:p>
            <w:pPr>
              <w:spacing w:after="0" w:line="200"/>
            </w:pPr>
            <w:r>
              <w:rPr>
                <w:rFonts w:ascii="Courier New" w:cs="Courier New" w:eastAsia="Courier New" w:hAnsi="Courier New"/>
                <w:sz w:val="18"/>
                <w:szCs w:val="18"/>
              </w:rPr>
              <w:t xml:space="preserve">def reciprocal_rank_fusion(ranked_lists, k=RRF_K, id_key="id"):</w:t>
            </w:r>
          </w:p>
          <w:p>
            <w:pPr>
              <w:spacing w:after="0" w:line="200"/>
            </w:pPr>
            <w:r>
              <w:rPr>
                <w:rFonts w:ascii="Courier New" w:cs="Courier New" w:eastAsia="Courier New" w:hAnsi="Courier New"/>
                <w:sz w:val="18"/>
                <w:szCs w:val="18"/>
              </w:rPr>
              <w:t xml:space="preserve">    """Fuse ranked result lists into one, using positions only."""</w:t>
            </w:r>
          </w:p>
          <w:p>
            <w:pPr>
              <w:spacing w:after="0" w:line="200"/>
            </w:pPr>
            <w:r>
              <w:rPr>
                <w:rFonts w:ascii="Courier New" w:cs="Courier New" w:eastAsia="Courier New" w:hAnsi="Courier New"/>
                <w:sz w:val="18"/>
                <w:szCs w:val="18"/>
              </w:rPr>
              <w:t xml:space="preserve">    scores, records, agreement = {}, {}, {}</w:t>
            </w:r>
          </w:p>
          <w:p>
            <w:pPr>
              <w:spacing w:after="0" w:line="200"/>
            </w:pPr>
            <w:r>
              <w:rPr>
                <w:rFonts w:ascii="Courier New" w:cs="Courier New" w:eastAsia="Courier New" w:hAnsi="Courier New"/>
                <w:sz w:val="18"/>
                <w:szCs w:val="18"/>
              </w:rPr>
              <w:t xml:space="preserve">    for results in ranked_lists:</w:t>
            </w:r>
          </w:p>
          <w:p>
            <w:pPr>
              <w:spacing w:after="0" w:line="200"/>
            </w:pPr>
            <w:r>
              <w:rPr>
                <w:rFonts w:ascii="Courier New" w:cs="Courier New" w:eastAsia="Courier New" w:hAnsi="Courier New"/>
                <w:sz w:val="18"/>
                <w:szCs w:val="18"/>
              </w:rPr>
              <w:t xml:space="preserve">        for rank, item in enumerate(results, start=1):</w:t>
            </w:r>
          </w:p>
          <w:p>
            <w:pPr>
              <w:spacing w:after="0" w:line="200"/>
            </w:pPr>
            <w:r>
              <w:rPr>
                <w:rFonts w:ascii="Courier New" w:cs="Courier New" w:eastAsia="Courier New" w:hAnsi="Courier New"/>
                <w:sz w:val="18"/>
                <w:szCs w:val="18"/>
              </w:rPr>
              <w:t xml:space="preserve">            key = item[id_key]</w:t>
            </w:r>
          </w:p>
          <w:p>
            <w:pPr>
              <w:spacing w:after="0" w:line="200"/>
            </w:pPr>
            <w:r>
              <w:rPr>
                <w:rFonts w:ascii="Courier New" w:cs="Courier New" w:eastAsia="Courier New" w:hAnsi="Courier New"/>
                <w:sz w:val="18"/>
                <w:szCs w:val="18"/>
              </w:rPr>
              <w:t xml:space="preserve">            scores[key] = scores.get(key, 0.0) + 1.0 / (k + rank)</w:t>
            </w:r>
          </w:p>
          <w:p>
            <w:pPr>
              <w:spacing w:after="0" w:line="200"/>
            </w:pPr>
            <w:r>
              <w:rPr>
                <w:rFonts w:ascii="Courier New" w:cs="Courier New" w:eastAsia="Courier New" w:hAnsi="Courier New"/>
                <w:sz w:val="18"/>
                <w:szCs w:val="18"/>
              </w:rPr>
              <w:t xml:space="preserve">            agreement[key] = agreement.get(key, 0) + 1</w:t>
            </w:r>
          </w:p>
          <w:p>
            <w:pPr>
              <w:spacing w:after="0" w:line="200"/>
            </w:pPr>
            <w:r>
              <w:rPr>
                <w:rFonts w:ascii="Courier New" w:cs="Courier New" w:eastAsia="Courier New" w:hAnsi="Courier New"/>
                <w:sz w:val="18"/>
                <w:szCs w:val="18"/>
              </w:rPr>
              <w:t xml:space="preserve">            records.setdefault(key, item)</w:t>
            </w:r>
          </w:p>
          <w:p>
            <w:pPr>
              <w:spacing w:after="0" w:line="200"/>
            </w:pPr>
            <w:r>
              <w:rPr>
                <w:rFonts w:ascii="Courier New" w:cs="Courier New" w:eastAsia="Courier New" w:hAnsi="Courier New"/>
                <w:sz w:val="18"/>
                <w:szCs w:val="18"/>
              </w:rPr>
              <w:t xml:space="preserve"/>
            </w:r>
          </w:p>
          <w:p>
            <w:pPr>
              <w:spacing w:after="0" w:line="200"/>
            </w:pPr>
            <w:r>
              <w:rPr>
                <w:rFonts w:ascii="Courier New" w:cs="Courier New" w:eastAsia="Courier New" w:hAnsi="Courier New"/>
                <w:sz w:val="18"/>
                <w:szCs w:val="18"/>
              </w:rPr>
              <w:t xml:space="preserve">    fused = []</w:t>
            </w:r>
          </w:p>
          <w:p>
            <w:pPr>
              <w:spacing w:after="0" w:line="200"/>
            </w:pPr>
            <w:r>
              <w:rPr>
                <w:rFonts w:ascii="Courier New" w:cs="Courier New" w:eastAsia="Courier New" w:hAnsi="Courier New"/>
                <w:sz w:val="18"/>
                <w:szCs w:val="18"/>
              </w:rPr>
              <w:t xml:space="preserve">    for key, score in sorted(scores.items(), key=lambda kv: kv[1], reverse=True):</w:t>
            </w:r>
          </w:p>
          <w:p>
            <w:pPr>
              <w:spacing w:after="0" w:line="200"/>
            </w:pPr>
            <w:r>
              <w:rPr>
                <w:rFonts w:ascii="Courier New" w:cs="Courier New" w:eastAsia="Courier New" w:hAnsi="Courier New"/>
                <w:sz w:val="18"/>
                <w:szCs w:val="18"/>
              </w:rPr>
              <w:t xml:space="preserve">        item = dict(records[key])</w:t>
            </w:r>
          </w:p>
          <w:p>
            <w:pPr>
              <w:spacing w:after="0" w:line="200"/>
            </w:pPr>
            <w:r>
              <w:rPr>
                <w:rFonts w:ascii="Courier New" w:cs="Courier New" w:eastAsia="Courier New" w:hAnsi="Courier New"/>
                <w:sz w:val="18"/>
                <w:szCs w:val="18"/>
              </w:rPr>
              <w:t xml:space="preserve">        item["fusion_score"] = score</w:t>
            </w:r>
          </w:p>
          <w:p>
            <w:pPr>
              <w:spacing w:after="0" w:line="200"/>
            </w:pPr>
            <w:r>
              <w:rPr>
                <w:rFonts w:ascii="Courier New" w:cs="Courier New" w:eastAsia="Courier New" w:hAnsi="Courier New"/>
                <w:sz w:val="18"/>
                <w:szCs w:val="18"/>
              </w:rPr>
              <w:t xml:space="preserve">        item["sources_agreeing"] = agreement[key]</w:t>
            </w:r>
          </w:p>
          <w:p>
            <w:pPr>
              <w:spacing w:after="0" w:line="200"/>
            </w:pPr>
            <w:r>
              <w:rPr>
                <w:rFonts w:ascii="Courier New" w:cs="Courier New" w:eastAsia="Courier New" w:hAnsi="Courier New"/>
                <w:sz w:val="18"/>
                <w:szCs w:val="18"/>
              </w:rPr>
              <w:t xml:space="preserve">        fused.append(item)</w:t>
            </w:r>
          </w:p>
          <w:p>
            <w:pPr>
              <w:spacing w:after="0" w:line="200"/>
            </w:pPr>
            <w:r>
              <w:rPr>
                <w:rFonts w:ascii="Courier New" w:cs="Courier New" w:eastAsia="Courier New" w:hAnsi="Courier New"/>
                <w:sz w:val="18"/>
                <w:szCs w:val="18"/>
              </w:rPr>
              <w:t xml:space="preserve">    return fused</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Listing 4.5  src/rag/fusion.py — combining two retrievers without comparing their scores</w:t>
      </w:r>
    </w:p>
    <w:p>
      <w:r>
        <w:br w:type="page"/>
      </w:r>
    </w:p>
    <w:p>
      <w:pPr>
        <w:spacing w:after="160" w:before="0" w:line="240"/>
        <w:jc w:val="center"/>
      </w:pPr>
      <w:r>
        <w:rPr>
          <w:rFonts w:ascii="Times New Roman" w:cs="Times New Roman" w:eastAsia="Times New Roman" w:hAnsi="Times New Roman"/>
          <w:b/>
          <w:bCs/>
          <w:i w:val="false"/>
          <w:iCs w:val="false"/>
          <w:sz w:val="28"/>
          <w:szCs w:val="28"/>
        </w:rPr>
        <w:t xml:space="preserve">CHAPTER 5</w:t>
      </w:r>
    </w:p>
    <w:p>
      <w:pPr>
        <w:spacing w:after="300" w:before="0" w:line="240"/>
        <w:jc w:val="center"/>
      </w:pPr>
      <w:r>
        <w:rPr>
          <w:rFonts w:ascii="Times New Roman" w:cs="Times New Roman" w:eastAsia="Times New Roman" w:hAnsi="Times New Roman"/>
          <w:b/>
          <w:bCs/>
          <w:i w:val="false"/>
          <w:iCs w:val="false"/>
          <w:sz w:val="28"/>
          <w:szCs w:val="28"/>
        </w:rPr>
        <w:t xml:space="preserve">RESULTS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reports the system’s measured behaviour. All figures are produced by the evaluation harness in scripts/run_eval.py, which writes eval/results/report.md and report.json and is reproducible with a single command.</w:t>
      </w:r>
    </w:p>
    <w:p>
      <w:pPr>
        <w:spacing w:after="120" w:before="240" w:line="240"/>
        <w:jc w:val="left"/>
      </w:pPr>
      <w:r>
        <w:rPr>
          <w:rFonts w:ascii="Times New Roman" w:cs="Times New Roman" w:eastAsia="Times New Roman" w:hAnsi="Times New Roman"/>
          <w:b/>
          <w:bCs/>
          <w:i w:val="false"/>
          <w:iCs w:val="false"/>
          <w:sz w:val="24"/>
          <w:szCs w:val="24"/>
        </w:rPr>
        <w:t xml:space="preserve">5.1 Evaluation protocol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evaluation set contains 46 hand-labelled questions. Each carries an expected intent, an expected location, an expected variable set and, where the answer genuinely depends on the knowledge base, the document that ought to be retrieved; 29 questions carry such a gold document and 8 are explicit paraphrase cases. The intents are distributed across anomaly (8), comparison (7), current (8), forecast (7), general (9) and trend (7).</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set is split deliberately. The development split of 34 cases was used while the rule-based keyword patterns were being debugged, so its scores are fitted and read high. The held-out test split of 12 cases was written afterwards, using phrasing deliberately absent from those keyword lists — “outlook”, “at present”, “out of line with the norm”, “downpours” — and nothing was tuned against it. Quoting the development number as though it were a generalisation result is the most common way a project of this kind overstates itself, so the held-out column is the one discussed below.</w:t>
      </w:r>
    </w:p>
    <w:p>
      <w:pPr>
        <w:spacing w:after="120" w:before="240" w:line="240"/>
        <w:jc w:val="left"/>
      </w:pPr>
      <w:r>
        <w:rPr>
          <w:rFonts w:ascii="Times New Roman" w:cs="Times New Roman" w:eastAsia="Times New Roman" w:hAnsi="Times New Roman"/>
          <w:b/>
          <w:bCs/>
          <w:i w:val="false"/>
          <w:iCs w:val="false"/>
          <w:sz w:val="24"/>
          <w:szCs w:val="24"/>
        </w:rPr>
        <w:t xml:space="preserve">5.2 Interface outputs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web interface presents four tabs. The Chat tab answers conversationally and keeps the conversation in context; beneath every answer a “Show the working” panel exposes the data that was fetched, the knowledge-base chunks that were retrieved and the agent trace, including which agents ran and how long each took.</w:t>
      </w:r>
    </w:p>
    <w:tbl>
      <w:tblPr>
        <w:tblW w:type="dxa" w:w="9360"/>
        <w:tblBorders>
          <w:top w:val="dashed" w:color="888888" w:sz="4"/>
          <w:left w:val="dashed" w:color="888888" w:sz="4"/>
          <w:bottom w:val="dashed" w:color="888888" w:sz="4"/>
          <w:right w:val="dashed" w:color="888888" w:sz="4"/>
          <w:insideH w:val="dashed" w:color="888888" w:sz="4"/>
          <w:insideV w:val="dashed" w:color="888888" w:sz="4"/>
        </w:tblBorders>
      </w:tblPr>
      <w:tblGrid>
        <w:gridCol w:w="9360"/>
      </w:tblGrid>
      <w:tr>
        <w:trPr>
          <w:trHeight w:val="2600" w:hRule="atLeast"/>
        </w:trPr>
        <w:tc>
          <w:tcPr>
            <w:tcW w:type="dxa" w:w="9360"/>
            <w:tcMar>
              <w:top w:type="dxa" w:w="200"/>
              <w:left w:type="dxa" w:w="120"/>
              <w:bottom w:type="dxa" w:w="200"/>
              <w:right w:type="dxa" w:w="120"/>
            </w:tcMar>
            <w:vAlign w:val="center"/>
          </w:tcPr>
          <w:p>
            <w:pPr>
              <w:spacing w:line="240"/>
              <w:jc w:val="center"/>
            </w:pPr>
            <w:r>
              <w:rPr>
                <w:rFonts w:ascii="Times New Roman" w:cs="Times New Roman" w:eastAsia="Times New Roman" w:hAnsi="Times New Roman"/>
                <w:b w:val="false"/>
                <w:bCs w:val="false"/>
                <w:i/>
                <w:iCs/>
                <w:sz w:val="22"/>
                <w:szCs w:val="22"/>
              </w:rPr>
              <w:t xml:space="preserve">Fig. 5.1 — paste a screenshot of the Chat tab here, with the “Show the working” panel expanded.
(Run:  streamlit run src/ui/app.py)</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Fig. 5.1  Chat tab with the “Show the working” evidence panel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Dashboard tab leads with current conditions and the departure scale described in Chapter 4, then offers the Today, Next 48 hours, 10 days and “Is this normal?” sub-views. The last of these runs the full agent pipeline against the displayed location, pulls a ten-year baseline and reports whether conditions are actually unusual, with the evidence panel attached.</w:t>
      </w:r>
    </w:p>
    <w:tbl>
      <w:tblPr>
        <w:tblW w:type="dxa" w:w="9360"/>
        <w:tblBorders>
          <w:top w:val="dashed" w:color="888888" w:sz="4"/>
          <w:left w:val="dashed" w:color="888888" w:sz="4"/>
          <w:bottom w:val="dashed" w:color="888888" w:sz="4"/>
          <w:right w:val="dashed" w:color="888888" w:sz="4"/>
          <w:insideH w:val="dashed" w:color="888888" w:sz="4"/>
          <w:insideV w:val="dashed" w:color="888888" w:sz="4"/>
        </w:tblBorders>
      </w:tblPr>
      <w:tblGrid>
        <w:gridCol w:w="9360"/>
      </w:tblGrid>
      <w:tr>
        <w:trPr>
          <w:trHeight w:val="2600" w:hRule="atLeast"/>
        </w:trPr>
        <w:tc>
          <w:tcPr>
            <w:tcW w:type="dxa" w:w="9360"/>
            <w:tcMar>
              <w:top w:type="dxa" w:w="200"/>
              <w:left w:type="dxa" w:w="120"/>
              <w:bottom w:type="dxa" w:w="200"/>
              <w:right w:type="dxa" w:w="120"/>
            </w:tcMar>
            <w:vAlign w:val="center"/>
          </w:tcPr>
          <w:p>
            <w:pPr>
              <w:spacing w:line="240"/>
              <w:jc w:val="center"/>
            </w:pPr>
            <w:r>
              <w:rPr>
                <w:rFonts w:ascii="Times New Roman" w:cs="Times New Roman" w:eastAsia="Times New Roman" w:hAnsi="Times New Roman"/>
                <w:b w:val="false"/>
                <w:bCs w:val="false"/>
                <w:i/>
                <w:iCs/>
                <w:sz w:val="22"/>
                <w:szCs w:val="22"/>
              </w:rPr>
              <w:t xml:space="preserve">Fig. 5.2 — paste a screenshot of the Dashboard tab here, showing the departure scale
and the “Is this normal?” sub-view.</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Fig. 5.2  Dashboard — departure scale and the “Is this normal?” view</w:t>
      </w:r>
    </w:p>
    <w:p>
      <w:r>
        <w:br w:type="page"/>
      </w:r>
    </w:p>
    <w:p>
      <w:pPr>
        <w:spacing w:after="120" w:before="0" w:line="240"/>
        <w:jc w:val="left"/>
      </w:pPr>
      <w:r>
        <w:rPr>
          <w:rFonts w:ascii="Times New Roman" w:cs="Times New Roman" w:eastAsia="Times New Roman" w:hAnsi="Times New Roman"/>
          <w:b/>
          <w:bCs/>
          <w:i w:val="false"/>
          <w:iCs w:val="false"/>
          <w:sz w:val="24"/>
          <w:szCs w:val="24"/>
        </w:rPr>
        <w:t xml:space="preserve">5.3 Planning performance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Planning is scored on three measures: whether the question reached the right agent path (intent accuracy), whether the place was resolved correctly (location accuracy), and how well the requested variables were recovered (set F1).</w:t>
      </w:r>
    </w:p>
    <w:p>
      <w:pPr>
        <w:spacing w:line="24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200"/>
        <w:gridCol w:w="700"/>
        <w:gridCol w:w="2100"/>
        <w:gridCol w:w="2100"/>
        <w:gridCol w:w="1760"/>
      </w:tblGrid>
      <w:tr>
        <w:trPr>
          <w:cantSplit/>
          <w:tblHeader/>
        </w:trPr>
        <w:tc>
          <w:tcPr>
            <w:tcW w:type="dxa" w:w="15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Mode</w:t>
            </w:r>
          </w:p>
        </w:tc>
        <w:tc>
          <w:tcPr>
            <w:tcW w:type="dxa" w:w="12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Split</w:t>
            </w:r>
          </w:p>
        </w:tc>
        <w:tc>
          <w:tcPr>
            <w:tcW w:type="dxa" w:w="7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n</w:t>
            </w:r>
          </w:p>
        </w:tc>
        <w:tc>
          <w:tcPr>
            <w:tcW w:type="dxa" w:w="2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Intent accuracy</w:t>
            </w:r>
          </w:p>
        </w:tc>
        <w:tc>
          <w:tcPr>
            <w:tcW w:type="dxa" w:w="2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Location accuracy</w:t>
            </w:r>
          </w:p>
        </w:tc>
        <w:tc>
          <w:tcPr>
            <w:tcW w:type="dxa" w:w="176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Variable F1</w:t>
            </w:r>
          </w:p>
        </w:tc>
      </w:tr>
      <w:tr>
        <w:trPr>
          <w:cantSplit/>
          <w:tblHeader w:val="false"/>
        </w:trPr>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rule-based</w:t>
            </w:r>
          </w:p>
        </w:tc>
        <w:tc>
          <w:tcPr>
            <w:tcW w:type="dxa" w:w="1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dev</w:t>
            </w:r>
          </w:p>
        </w:tc>
        <w:tc>
          <w:tcPr>
            <w:tcW w:type="dxa" w:w="7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34</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7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0.882</w:t>
            </w:r>
          </w:p>
        </w:tc>
      </w:tr>
      <w:tr>
        <w:trPr>
          <w:cantSplit/>
          <w:tblHeader w:val="false"/>
        </w:trPr>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rule-based</w:t>
            </w:r>
          </w:p>
        </w:tc>
        <w:tc>
          <w:tcPr>
            <w:tcW w:type="dxa" w:w="1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test</w:t>
            </w:r>
          </w:p>
        </w:tc>
        <w:tc>
          <w:tcPr>
            <w:tcW w:type="dxa" w:w="7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12</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33.3%</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7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0.750</w:t>
            </w:r>
          </w:p>
        </w:tc>
      </w:tr>
      <w:tr>
        <w:trPr>
          <w:cantSplit/>
          <w:tblHeader w:val="false"/>
        </w:trPr>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LLM</w:t>
            </w:r>
          </w:p>
        </w:tc>
        <w:tc>
          <w:tcPr>
            <w:tcW w:type="dxa" w:w="1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dev</w:t>
            </w:r>
          </w:p>
        </w:tc>
        <w:tc>
          <w:tcPr>
            <w:tcW w:type="dxa" w:w="7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34</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79.4%</w:t>
            </w:r>
          </w:p>
        </w:tc>
        <w:tc>
          <w:tcPr>
            <w:tcW w:type="dxa" w:w="17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0.610</w:t>
            </w:r>
          </w:p>
        </w:tc>
      </w:tr>
      <w:tr>
        <w:trPr>
          <w:cantSplit/>
          <w:tblHeader w:val="false"/>
        </w:trPr>
        <w:tc>
          <w:tcPr>
            <w:tcW w:type="dxa" w:w="15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LLM</w:t>
            </w:r>
          </w:p>
        </w:tc>
        <w:tc>
          <w:tcPr>
            <w:tcW w:type="dxa" w:w="1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test</w:t>
            </w:r>
          </w:p>
        </w:tc>
        <w:tc>
          <w:tcPr>
            <w:tcW w:type="dxa" w:w="7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12</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91.7%</w:t>
            </w:r>
          </w:p>
        </w:tc>
        <w:tc>
          <w:tcPr>
            <w:tcW w:type="dxa" w:w="2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83.3%</w:t>
            </w:r>
          </w:p>
        </w:tc>
        <w:tc>
          <w:tcPr>
            <w:tcW w:type="dxa" w:w="17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0.556</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Table 5.1  Planning performance by mode and split</w:t>
      </w:r>
    </w:p>
    <w:p>
      <w:pPr>
        <w:spacing w:after="60" w:before="120" w:line="240" w:lineRule="auto"/>
        <w:jc w:val="center"/>
      </w:pPr>
      <w:r>
        <w:drawing>
          <wp:inline distT="0" distB="0" distL="0" distR="0">
            <wp:extent cx="4381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019425"/>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5.3  Planning intent accuracy, rule-based against LLM planner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contrast is the clearest result in the evaluation. Both planners score 100% on the development split, which establishes only that the keyword patterns were debugged against it. On the held-out split the rule-based planner collapses to 33.3% while the language-model planner holds at 91.7%. Every rule-based failure is the same failure: an unrecognised phrasing falls through to the default current intent. “Give me the outlook for Jaipur over the next ten days” is classified as current rather than forecast; “Has Mumbai become rainier across the last decade?” as current rather than trend; “Anything freakish in the Pune numbers lately?” as current rather than anomaly.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language-model planner fails differently and less consequentially. Its errors are almost entirely location errors on purely conceptual questions: asked “What is relative humidity?” it fills in the location carried in the conversation context rather than leaving the field empty. The intent is still correct, so the question is still routed to the knowledge base; the spurious location is discarded because a general-intent plan requests no observations.</w:t>
      </w:r>
    </w:p>
    <w:p>
      <w:pPr>
        <w:spacing w:after="120" w:before="240" w:line="240"/>
        <w:jc w:val="left"/>
      </w:pPr>
      <w:r>
        <w:rPr>
          <w:rFonts w:ascii="Times New Roman" w:cs="Times New Roman" w:eastAsia="Times New Roman" w:hAnsi="Times New Roman"/>
          <w:b/>
          <w:bCs/>
          <w:i w:val="false"/>
          <w:iCs w:val="false"/>
          <w:sz w:val="24"/>
          <w:szCs w:val="24"/>
        </w:rPr>
        <w:t xml:space="preserve">5.4 Retrieval performance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Retrieval is scored on the 29 questions that carry a gold document, with top-k fixed at four. Recall@4 is the metric that matters most in this system, because the generator reads every retrieved chunk rather than only the first. Retrieval was never tuned against either split, so both columns are honest; they are shown separately only for consistency with the planning table.</w:t>
      </w:r>
    </w:p>
    <w:p>
      <w:pPr>
        <w:spacing w:line="24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100"/>
        <w:gridCol w:w="700"/>
        <w:gridCol w:w="1350"/>
        <w:gridCol w:w="1350"/>
        <w:gridCol w:w="1360"/>
        <w:gridCol w:w="1100"/>
      </w:tblGrid>
      <w:tr>
        <w:trPr>
          <w:cantSplit/>
          <w:tblHeader/>
        </w:trPr>
        <w:tc>
          <w:tcPr>
            <w:tcW w:type="dxa" w:w="24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Backend</w:t>
            </w:r>
          </w:p>
        </w:tc>
        <w:tc>
          <w:tcPr>
            <w:tcW w:type="dxa" w:w="1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Split</w:t>
            </w:r>
          </w:p>
        </w:tc>
        <w:tc>
          <w:tcPr>
            <w:tcW w:type="dxa" w:w="7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n</w:t>
            </w:r>
          </w:p>
        </w:tc>
        <w:tc>
          <w:tcPr>
            <w:tcW w:type="dxa" w:w="135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Recall@1</w:t>
            </w:r>
          </w:p>
        </w:tc>
        <w:tc>
          <w:tcPr>
            <w:tcW w:type="dxa" w:w="135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Recall@4</w:t>
            </w:r>
          </w:p>
        </w:tc>
        <w:tc>
          <w:tcPr>
            <w:tcW w:type="dxa" w:w="136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Precision@1</w:t>
            </w:r>
          </w:p>
        </w:tc>
        <w:tc>
          <w:tcPr>
            <w:tcW w:type="dxa" w:w="11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MRR</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hashed TF-IDF</w:t>
            </w:r>
          </w:p>
        </w:tc>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dev</w:t>
            </w:r>
          </w:p>
        </w:tc>
        <w:tc>
          <w:tcPr>
            <w:tcW w:type="dxa" w:w="7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21</w:t>
            </w:r>
          </w:p>
        </w:tc>
        <w:tc>
          <w:tcPr>
            <w:tcW w:type="dxa" w:w="135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47.6%</w:t>
            </w:r>
          </w:p>
        </w:tc>
        <w:tc>
          <w:tcPr>
            <w:tcW w:type="dxa" w:w="135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76.2%</w:t>
            </w:r>
          </w:p>
        </w:tc>
        <w:tc>
          <w:tcPr>
            <w:tcW w:type="dxa" w:w="13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47.6%</w:t>
            </w:r>
          </w:p>
        </w:tc>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0.603</w:t>
            </w:r>
          </w:p>
        </w:tc>
      </w:tr>
      <w:tr>
        <w:trPr>
          <w:cantSplit/>
          <w:tblHeader w:val="false"/>
        </w:trPr>
        <w:tc>
          <w:tcPr>
            <w:tcW w:type="dxa" w:w="24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hashed TF-IDF</w:t>
            </w:r>
          </w:p>
        </w:tc>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test</w:t>
            </w:r>
          </w:p>
        </w:tc>
        <w:tc>
          <w:tcPr>
            <w:tcW w:type="dxa" w:w="7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8</w:t>
            </w:r>
          </w:p>
        </w:tc>
        <w:tc>
          <w:tcPr>
            <w:tcW w:type="dxa" w:w="135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25.0%</w:t>
            </w:r>
          </w:p>
        </w:tc>
        <w:tc>
          <w:tcPr>
            <w:tcW w:type="dxa" w:w="135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37.5%</w:t>
            </w:r>
          </w:p>
        </w:tc>
        <w:tc>
          <w:tcPr>
            <w:tcW w:type="dxa" w:w="13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25.0%</w:t>
            </w:r>
          </w:p>
        </w:tc>
        <w:tc>
          <w:tcPr>
            <w:tcW w:type="dxa" w:w="11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0.281</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Table 5.2  Full retrieval metrics for the default lexical backend (top-k = 4)</w:t>
      </w:r>
    </w:p>
    <w:p>
      <w:pPr>
        <w:spacing w:line="24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200"/>
        <w:gridCol w:w="2200"/>
        <w:gridCol w:w="1960"/>
      </w:tblGrid>
      <w:tr>
        <w:trPr>
          <w:cantSplit/>
          <w:tblHeader/>
        </w:trPr>
        <w:tc>
          <w:tcPr>
            <w:tcW w:type="dxa" w:w="30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Backend</w:t>
            </w:r>
          </w:p>
        </w:tc>
        <w:tc>
          <w:tcPr>
            <w:tcW w:type="dxa" w:w="22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Recall@4 (dev)</w:t>
            </w:r>
          </w:p>
        </w:tc>
        <w:tc>
          <w:tcPr>
            <w:tcW w:type="dxa" w:w="220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Recall@4 (test)</w:t>
            </w:r>
          </w:p>
        </w:tc>
        <w:tc>
          <w:tcPr>
            <w:tcW w:type="dxa" w:w="1960"/>
            <w:shd w:fill="EFEFEF" w:color="auto" w:val="clear"/>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i w:val="false"/>
                <w:iCs w:val="false"/>
                <w:sz w:val="20"/>
                <w:szCs w:val="20"/>
              </w:rPr>
              <w:t xml:space="preserve">MRR (test)</w:t>
            </w:r>
          </w:p>
        </w:tc>
      </w:tr>
      <w:tr>
        <w:trPr>
          <w:cantSplit/>
          <w:tblHeader w:val="false"/>
        </w:trPr>
        <w:tc>
          <w:tcPr>
            <w:tcW w:type="dxa" w:w="30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hashed TF-IDF (lexical)</w:t>
            </w:r>
          </w:p>
        </w:tc>
        <w:tc>
          <w:tcPr>
            <w:tcW w:type="dxa" w:w="2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76.2%</w:t>
            </w:r>
          </w:p>
        </w:tc>
        <w:tc>
          <w:tcPr>
            <w:tcW w:type="dxa" w:w="2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37.5%</w:t>
            </w:r>
          </w:p>
        </w:tc>
        <w:tc>
          <w:tcPr>
            <w:tcW w:type="dxa" w:w="19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0.281</w:t>
            </w:r>
          </w:p>
        </w:tc>
      </w:tr>
      <w:tr>
        <w:trPr>
          <w:cantSplit/>
          <w:tblHeader w:val="false"/>
        </w:trPr>
        <w:tc>
          <w:tcPr>
            <w:tcW w:type="dxa" w:w="30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sentence-transformers (semantic)</w:t>
            </w:r>
          </w:p>
        </w:tc>
        <w:tc>
          <w:tcPr>
            <w:tcW w:type="dxa" w:w="2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61.9%</w:t>
            </w:r>
          </w:p>
        </w:tc>
        <w:tc>
          <w:tcPr>
            <w:tcW w:type="dxa" w:w="2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50.0%</w:t>
            </w:r>
          </w:p>
        </w:tc>
        <w:tc>
          <w:tcPr>
            <w:tcW w:type="dxa" w:w="19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0.500</w:t>
            </w:r>
          </w:p>
        </w:tc>
      </w:tr>
      <w:tr>
        <w:trPr>
          <w:cantSplit/>
          <w:tblHeader w:val="false"/>
        </w:trPr>
        <w:tc>
          <w:tcPr>
            <w:tcW w:type="dxa" w:w="3000"/>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i w:val="false"/>
                <w:iCs w:val="false"/>
                <w:sz w:val="20"/>
                <w:szCs w:val="20"/>
              </w:rPr>
              <w:t xml:space="preserve">hybrid, Reciprocal Rank Fusion</w:t>
            </w:r>
          </w:p>
        </w:tc>
        <w:tc>
          <w:tcPr>
            <w:tcW w:type="dxa" w:w="2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81.0%</w:t>
            </w:r>
          </w:p>
        </w:tc>
        <w:tc>
          <w:tcPr>
            <w:tcW w:type="dxa" w:w="220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50.0%</w:t>
            </w:r>
          </w:p>
        </w:tc>
        <w:tc>
          <w:tcPr>
            <w:tcW w:type="dxa" w:w="1960"/>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0.500</w:t>
            </w:r>
          </w:p>
        </w:tc>
      </w:tr>
    </w:tbl>
    <w:p>
      <w:pPr>
        <w:spacing w:after="240" w:before="40" w:line="240"/>
        <w:jc w:val="center"/>
      </w:pPr>
      <w:r>
        <w:rPr>
          <w:rFonts w:ascii="Times New Roman" w:cs="Times New Roman" w:eastAsia="Times New Roman" w:hAnsi="Times New Roman"/>
          <w:b w:val="false"/>
          <w:bCs w:val="false"/>
          <w:i w:val="false"/>
          <w:iCs w:val="false"/>
          <w:sz w:val="22"/>
          <w:szCs w:val="22"/>
        </w:rPr>
        <w:t xml:space="preserve">Table 5.3  Recall@4 across the three retrieval backends</w:t>
      </w:r>
    </w:p>
    <w:p>
      <w:pPr>
        <w:spacing w:after="60" w:before="120" w:line="240" w:lineRule="auto"/>
        <w:jc w:val="center"/>
      </w:pPr>
      <w:r>
        <w:drawing>
          <wp:inline distT="0" distB="0" distL="0" distR="0">
            <wp:extent cx="4762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67050"/>
                    </a:xfrm>
                    <a:prstGeom prst="rect">
                      <a:avLst/>
                    </a:prstGeom>
                  </pic:spPr>
                </pic:pic>
              </a:graphicData>
            </a:graphic>
          </wp:inline>
        </w:drawing>
      </w:r>
    </w:p>
    <w:p>
      <w:pPr>
        <w:spacing w:after="240" w:before="40" w:line="240"/>
        <w:jc w:val="center"/>
      </w:pPr>
      <w:r>
        <w:rPr>
          <w:rFonts w:ascii="Times New Roman" w:cs="Times New Roman" w:eastAsia="Times New Roman" w:hAnsi="Times New Roman"/>
          <w:b w:val="false"/>
          <w:bCs w:val="false"/>
          <w:i w:val="false"/>
          <w:iCs w:val="false"/>
          <w:sz w:val="22"/>
          <w:szCs w:val="22"/>
        </w:rPr>
        <w:t xml:space="preserve">Fig. 5.4  Retrieval Recall@4 by embedding backend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Neither backend dominates, and the pattern follows the mechanism. Lexical retrieval wins when the question reuses the corpus’s own vocabulary: on the development split, where questions are phrased close to the source text, hashed TF-IDF reaches 76.2% against MiniLM’s 61.9%. On the held-out split, where the phrasing is deliberately different, lexical retrieval falls from 76.2% to 37.5% while the semantic backend holds at 50.0%. Fusing the two by rank recovers the better of the two on the held-out split and exceeds both on development, giving the highest Recall@4 overall at 81.0% and 50.0%.</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One caveat must be stated plainly, and is stated in the project’s own documentation. The held-out retrieval split contains eight cases, so the improvement from 37.5% to 50.0% is a difference of a single question. The direction is consistent with the mechanism and with the literature [3][4][6], but the magnitude is not precise. Widening the labelled set is the single highest-value improvement still available.</w:t>
      </w:r>
    </w:p>
    <w:p>
      <w:pPr>
        <w:spacing w:after="120" w:before="240" w:line="240"/>
        <w:jc w:val="left"/>
      </w:pPr>
      <w:r>
        <w:rPr>
          <w:rFonts w:ascii="Times New Roman" w:cs="Times New Roman" w:eastAsia="Times New Roman" w:hAnsi="Times New Roman"/>
          <w:b/>
          <w:bCs/>
          <w:i w:val="false"/>
          <w:iCs w:val="false"/>
          <w:sz w:val="24"/>
          <w:szCs w:val="24"/>
        </w:rPr>
        <w:t xml:space="preserve">5.5 Groundedness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groundedness check extracts every number from a generated answer and verifies that it appears somewhere in what the pipeline actually computed. Years, ISO dates and published IMD thresholds are excluded as system vocabulary rather than data claims. In offline mode the score is 100%, and it necessarily must be: the template can only emit numbers it has just computed, so in that configuration the metric is measuring itself. What the offline run establishes is that the checker functions end to end; it serves as the control. The metric does real work only when a language model is connected and is free to write a number that was never computed, which is why the harness is intended to be run in both configurations and both reported.</w:t>
      </w:r>
    </w:p>
    <w:p>
      <w:pPr>
        <w:spacing w:after="120" w:before="240" w:line="240"/>
        <w:jc w:val="left"/>
      </w:pPr>
      <w:r>
        <w:rPr>
          <w:rFonts w:ascii="Times New Roman" w:cs="Times New Roman" w:eastAsia="Times New Roman" w:hAnsi="Times New Roman"/>
          <w:b/>
          <w:bCs/>
          <w:i w:val="false"/>
          <w:iCs w:val="false"/>
          <w:sz w:val="24"/>
          <w:szCs w:val="24"/>
        </w:rPr>
        <w:t xml:space="preserve">5.6 Test suite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Correctness of the analytical components is established separately from the evaluation harness. Around fifty offline unit tests run in well under a second and require no network, because they operate on synthetic series with known properties — a deliberate +0.02 °C per day slope that the trend fitter must recover, and an injected 40 °C spike that the anomaly detector must catch. The metric implementations in eval/metrics.py are themselves unit-tested against hand-worked examples, on the principle that an untested metric is a number that cannot be defended. A separate network-marked test exercises the full pipeline against the live API, and a headless script performs a smoke check of the Streamlit interface.</w:t>
      </w:r>
    </w:p>
    <w:p>
      <w:r>
        <w:br w:type="page"/>
      </w:r>
    </w:p>
    <w:p>
      <w:pPr>
        <w:spacing w:after="160" w:before="0" w:line="240"/>
        <w:jc w:val="center"/>
      </w:pPr>
      <w:r>
        <w:rPr>
          <w:rFonts w:ascii="Times New Roman" w:cs="Times New Roman" w:eastAsia="Times New Roman" w:hAnsi="Times New Roman"/>
          <w:b/>
          <w:bCs/>
          <w:i w:val="false"/>
          <w:iCs w:val="false"/>
          <w:sz w:val="28"/>
          <w:szCs w:val="28"/>
        </w:rPr>
        <w:t xml:space="preserve">CHAPTER 6</w:t>
      </w:r>
    </w:p>
    <w:p>
      <w:pPr>
        <w:spacing w:after="300" w:before="0" w:line="240"/>
        <w:jc w:val="center"/>
      </w:pPr>
      <w:r>
        <w:rPr>
          <w:rFonts w:ascii="Times New Roman" w:cs="Times New Roman" w:eastAsia="Times New Roman" w:hAnsi="Times New Roman"/>
          <w:b/>
          <w:bCs/>
          <w:i w:val="false"/>
          <w:iCs w:val="false"/>
          <w:sz w:val="28"/>
          <w:szCs w:val="28"/>
        </w:rPr>
        <w:t xml:space="preserve">CONCLUSION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project set out to build a system that does not merely report the weather but explains it, and the result meets that aim. A natural-language question is converted into an explicit structured plan, and seven agents then execute only the work that plan requires: fetching current conditions, forecasts or reanalysis history from Open-Meteo, computing statistics and trends, comparing observations against a ten-year climatological normal, retrieving supporting meteorological background, and composing an answer grounded in the numbers the system itself produced. Because every agent returns the same result envelope, the full execution trace is displayed alongside every answer, so the question “why did it answer that?” always has an answer.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evaluation supports three specific claims. First, explicit planning by a language model generalises substantially better than keyword rules: on phrasing never seen during development, intent accuracy is 91.7% against 33.3%, and every rule-based failure is the same failure of falling through to a default intent. Second, lexical and semantic retrieval fail on complementary questions, and fusing them by rank rather than by score gives the best Recall@4 of the three configurations at 81.0% on development and 50.0% on the held-out split. Third, the statistical choices matter as much as the model: measuring departure against a day-of-year normal rather than a rolling mean prevents every winter day from being flagged as cold, and routing zero-inflated daily rainfall to the published IMD thresholds reduced 195 spurious anomalies on a three-year Mumbai series to 41 genuine ones.</w:t>
      </w:r>
    </w:p>
    <w:p>
      <w:pPr>
        <w:spacing w:after="120" w:before="240" w:line="240"/>
        <w:jc w:val="left"/>
      </w:pPr>
      <w:r>
        <w:rPr>
          <w:rFonts w:ascii="Times New Roman" w:cs="Times New Roman" w:eastAsia="Times New Roman" w:hAnsi="Times New Roman"/>
          <w:b/>
          <w:bCs/>
          <w:i w:val="false"/>
          <w:iCs w:val="false"/>
          <w:sz w:val="24"/>
          <w:szCs w:val="24"/>
        </w:rPr>
        <w:t xml:space="preserve">6.1 Limitations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The reanalysis archive lags real time by approximately five days, so history requests are clamped accordingly and very recent history is unavailable.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The system works with daily aggregates. Urban flooding depends on rainfall intensity in millimetres per hour, which a daily total cannot express; the system states this rather than implying otherwise.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The default hashed TF-IDF embedder performs lexical matching, not semantic matching, and degrades measurably on paraphrased questions.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Rule-based planning handles only common phrasings; unusual ones require the language model, which in turn requires a provider key.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Geocoding accepts the first match, so ambiguous place names may resolve to the wrong country.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The held-out evaluation splits are small — twelve planning cases and eight retrieval cases — so the direction of the reported differences is more reliable than their magnitude.</w:t>
      </w:r>
    </w:p>
    <w:p>
      <w:pPr>
        <w:spacing w:after="120" w:before="240" w:line="240"/>
        <w:jc w:val="left"/>
      </w:pPr>
      <w:r>
        <w:rPr>
          <w:rFonts w:ascii="Times New Roman" w:cs="Times New Roman" w:eastAsia="Times New Roman" w:hAnsi="Times New Roman"/>
          <w:b/>
          <w:bCs/>
          <w:i w:val="false"/>
          <w:iCs w:val="false"/>
          <w:sz w:val="24"/>
          <w:szCs w:val="24"/>
        </w:rPr>
        <w:t xml:space="preserve">6.2 Future scope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Widen the labelled evaluation set. This is the highest-value remaining improvement: an eight-case retrieval split cannot resolve differences smaller than one question.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Report groundedness with a language model connected, in addition to the offline control run, so that the metric measures generation rather than the template.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Move from daily aggregates to hourly ingestion, which would allow rainfall-intensity claims and short-duration extreme events to be handled properly.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Extend the knowledge base beyond its five documents and add re-ranking on top of fusion, since retrieval quality bounds end-to-end answer quality [2].</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Add a local model provider such as Ollama. The provider abstraction already isolates every vendor call, so this requires one new class and no other change.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Resolve ambiguous place names interactively rather than accepting the first geocoding match.</w:t>
      </w:r>
    </w:p>
    <w:p>
      <w:r>
        <w:br w:type="page"/>
      </w:r>
    </w:p>
    <w:p>
      <w:pPr>
        <w:spacing w:after="120" w:before="0" w:line="240"/>
        <w:jc w:val="left"/>
      </w:pPr>
      <w:r>
        <w:rPr>
          <w:rFonts w:ascii="Times New Roman" w:cs="Times New Roman" w:eastAsia="Times New Roman" w:hAnsi="Times New Roman"/>
          <w:b/>
          <w:bCs/>
          <w:i w:val="false"/>
          <w:iCs w:val="false"/>
          <w:sz w:val="28"/>
          <w:szCs w:val="28"/>
        </w:rPr>
        <w:t xml:space="preserve">References</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Lewis, P., Perez, E., Piktus, A., Petroni, F., Karpukhin, V., Goyal, N., et al. (2020). Retrieval-augmented generation for knowledge-intensive NLP tasks. Advances in Neural Information Processing Systems, 33, 9459–9474.</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Gao, Y., Xiong, Y., Gao, X., Jia, K., Pan, J., Bi, Y., et al. (2023). Retrieval-augmented generation for large language models: A survey. arXiv preprint arXiv:2312.10997.</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Karpukhin, V., Oğuz, B., Min, S., Lewis, P., Wu, L., Edunov, S., Chen, D., and Yih, W. (2020). Dense passage retrieval for open-domain question answering. Proceedings of the 2020 Conference on Empirical Methods in Natural Language Processing (EMNLP), 6769–6781.</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Robertson, S., and Zaragoza, H. (2009). The probabilistic relevance framework: BM25 and beyond. Foundations and Trends in Information Retrieval, 3(4), 333–389.</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Reimers, N., and Gurevych, I. (2019). Sentence-BERT: Sentence embeddings using Siamese BERT-networks. Proceedings of the 2019 Conference on Empirical Methods in Natural Language Processing (EMNLP-IJCNLP), 3982–3992.</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Cormack, G. V., Clarke, C. L. A., and Buettcher, S. (2009). Reciprocal rank fusion outperforms Condorcet and individual rank learning methods. Proceedings of the 32nd International ACM SIGIR Conference on Research and Development in Information Retrieval, 758–759.</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Yao, S., Zhao, J., Yu, D., Du, N., Shafran, I., Narasimhan, K., and Cao, Y. (2023). ReAct: Synergizing reasoning and acting in language models. International Conference on Learning Representations (ICLR).</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Schick, T., Dwivedi-Yu, J., Dessì, R., Raileanu, R., Lomeli, M., Zettlemoyer, L., Cancedda, N., and Scialom, T. (2023). Toolformer: Language models can teach themselves to use tools. Advances in Neural Information Processing Systems, 36.</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[9]	</w:t>
      </w:r>
      <w:r>
        <w:rPr>
          <w:rFonts w:ascii="Times New Roman" w:cs="Times New Roman" w:eastAsia="Times New Roman" w:hAnsi="Times New Roman"/>
          <w:b w:val="false"/>
          <w:bCs w:val="false"/>
          <w:i w:val="false"/>
          <w:iCs w:val="false"/>
          <w:sz w:val="24"/>
          <w:szCs w:val="24"/>
        </w:rPr>
        <w:t xml:space="preserve">Wei, J., Wang, X., Schuurmans, D., Bosma, M., Ichter, B., Xia, F., Chi, E., Le, Q., and Zhou, D. (2022). Chain-of-thought prompting elicits reasoning in large language models. Advances in Neural Information Processing Systems, 35, 24824–24837.</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[10]	</w:t>
      </w:r>
      <w:r>
        <w:rPr>
          <w:rFonts w:ascii="Times New Roman" w:cs="Times New Roman" w:eastAsia="Times New Roman" w:hAnsi="Times New Roman"/>
          <w:b w:val="false"/>
          <w:bCs w:val="false"/>
          <w:i w:val="false"/>
          <w:iCs w:val="false"/>
          <w:sz w:val="24"/>
          <w:szCs w:val="24"/>
        </w:rPr>
        <w:t xml:space="preserve">Ji, Z., Lee, N., Frieske, R., Yu, T., Su, D., Xu, Y., et al. (2023). Survey of hallucination in natural language generation. ACM Computing Surveys, 55(12), 1–38.</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[11]	</w:t>
      </w:r>
      <w:r>
        <w:rPr>
          <w:rFonts w:ascii="Times New Roman" w:cs="Times New Roman" w:eastAsia="Times New Roman" w:hAnsi="Times New Roman"/>
          <w:b w:val="false"/>
          <w:bCs w:val="false"/>
          <w:i w:val="false"/>
          <w:iCs w:val="false"/>
          <w:sz w:val="24"/>
          <w:szCs w:val="24"/>
        </w:rPr>
        <w:t xml:space="preserve">Es, S., James, J., Espinosa-Anke, L., and Schockaert, S. (2024). RAGAS: Automated evaluation of retrieval augmented generation. Proceedings of the 18th Conference of the European Chapter of the Association for Computational Linguistics: System Demonstrations.</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[12]	</w:t>
      </w:r>
      <w:r>
        <w:rPr>
          <w:rFonts w:ascii="Times New Roman" w:cs="Times New Roman" w:eastAsia="Times New Roman" w:hAnsi="Times New Roman"/>
          <w:b w:val="false"/>
          <w:bCs w:val="false"/>
          <w:i w:val="false"/>
          <w:iCs w:val="false"/>
          <w:sz w:val="24"/>
          <w:szCs w:val="24"/>
        </w:rPr>
        <w:t xml:space="preserve">Hersbach, H., Bell, B., Berrisford, P., Hirahara, S., Horányi, A., Muñoz-Sabater, J., et al. (2020). The ERA5 global reanalysis. Quarterly Journal of the Royal Meteorological Society, 146(730), 1999–2049.</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[13]	</w:t>
      </w:r>
      <w:r>
        <w:rPr>
          <w:rFonts w:ascii="Times New Roman" w:cs="Times New Roman" w:eastAsia="Times New Roman" w:hAnsi="Times New Roman"/>
          <w:b w:val="false"/>
          <w:bCs w:val="false"/>
          <w:i w:val="false"/>
          <w:iCs w:val="false"/>
          <w:sz w:val="24"/>
          <w:szCs w:val="24"/>
        </w:rPr>
        <w:t xml:space="preserve">Lam, R., Sanchez-Gonzalez, A., Willson, M., Wirnsberger, P., Fortunato, M., Alet, F., et al. (2023). Learning skillful medium-range global weather forecasting. Science, 382(6677), 1416–1421.</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[14]	</w:t>
      </w:r>
      <w:r>
        <w:rPr>
          <w:rFonts w:ascii="Times New Roman" w:cs="Times New Roman" w:eastAsia="Times New Roman" w:hAnsi="Times New Roman"/>
          <w:b w:val="false"/>
          <w:bCs w:val="false"/>
          <w:i w:val="false"/>
          <w:iCs w:val="false"/>
          <w:sz w:val="24"/>
          <w:szCs w:val="24"/>
        </w:rPr>
        <w:t xml:space="preserve">Bi, K., Xie, L., Zhang, H., Chen, X., Gu, X., and Tian, Q. (2023). Accurate medium-range global weather forecasting with 3D neural networks. Nature, 619, 533–538.</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[15]	</w:t>
      </w:r>
      <w:r>
        <w:rPr>
          <w:rFonts w:ascii="Times New Roman" w:cs="Times New Roman" w:eastAsia="Times New Roman" w:hAnsi="Times New Roman"/>
          <w:b w:val="false"/>
          <w:bCs w:val="false"/>
          <w:i w:val="false"/>
          <w:iCs w:val="false"/>
          <w:sz w:val="24"/>
          <w:szCs w:val="24"/>
        </w:rPr>
        <w:t xml:space="preserve">Pathak, J., Subramanian, S., Harrington, P., Raja, S., Chattopadhyay, A., Mardani, M., et al. (2022). FourCastNet: A global data-driven high-resolution weather model using adaptive Fourier neural operators. arXiv preprint arXiv:2202.11214.</w:t>
      </w:r>
    </w:p>
    <w:p>
      <w:pPr>
        <w:spacing w:line="240"/>
      </w:pPr>
      <w:r>
        <w:rPr>
          <w:rFonts w:ascii="Times New Roman" w:cs="Times New Roman" w:eastAsia="Times New Roman" w:hAnsi="Times New Roman"/>
          <w:b w:val="false"/>
          <w:bCs w:val="false"/>
          <w:i w:val="false"/>
          <w:iCs w:val="false"/>
          <w:sz w:val="24"/>
          <w:szCs w:val="24"/>
        </w:rPr>
        <w:t xml:space="preserve"/>
      </w:r>
    </w:p>
    <w:p>
      <w:pPr>
        <w:spacing w:after="80" w:before="0" w:line="360"/>
        <w:jc w:val="both"/>
      </w:pPr>
      <w:r>
        <w:rPr>
          <w:rFonts w:ascii="Times New Roman" w:cs="Times New Roman" w:eastAsia="Times New Roman" w:hAnsi="Times New Roman"/>
          <w:b/>
          <w:bCs/>
          <w:i w:val="false"/>
          <w:iCs w:val="false"/>
          <w:sz w:val="22"/>
          <w:szCs w:val="22"/>
        </w:rPr>
        <w:t xml:space="preserve">Data and service sources</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[16]	</w:t>
      </w:r>
      <w:r>
        <w:rPr>
          <w:rFonts w:ascii="Times New Roman" w:cs="Times New Roman" w:eastAsia="Times New Roman" w:hAnsi="Times New Roman"/>
          <w:b w:val="false"/>
          <w:bCs w:val="false"/>
          <w:i w:val="false"/>
          <w:iCs w:val="false"/>
          <w:sz w:val="24"/>
          <w:szCs w:val="24"/>
        </w:rPr>
        <w:t xml:space="preserve">Open-Meteo. Free weather forecast, historical reanalysis and geocoding APIs. https://open-meteo.com</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[17]	</w:t>
      </w:r>
      <w:r>
        <w:rPr>
          <w:rFonts w:ascii="Times New Roman" w:cs="Times New Roman" w:eastAsia="Times New Roman" w:hAnsi="Times New Roman"/>
          <w:b w:val="false"/>
          <w:bCs w:val="false"/>
          <w:i w:val="false"/>
          <w:iCs w:val="false"/>
          <w:sz w:val="24"/>
          <w:szCs w:val="24"/>
        </w:rPr>
        <w:t xml:space="preserve">India Meteorological Department. Rainfall category and extreme-weather classification criteria. https://mausam.imd.gov.in</w:t>
      </w:r>
    </w:p>
    <w:p>
      <w:pPr>
        <w:spacing w:after="120" w:before="0" w:line="300"/>
        <w:ind w:left="620" w:hanging="620"/>
        <w:jc w:val="both"/>
      </w:pPr>
      <w:r>
        <w:rPr>
          <w:rFonts w:ascii="Times New Roman" w:cs="Times New Roman" w:eastAsia="Times New Roman" w:hAnsi="Times New Roman"/>
          <w:b w:val="false"/>
          <w:bCs w:val="false"/>
          <w:i w:val="false"/>
          <w:iCs w:val="false"/>
          <w:sz w:val="24"/>
          <w:szCs w:val="24"/>
        </w:rPr>
        <w:t xml:space="preserve">[18]	</w:t>
      </w:r>
      <w:r>
        <w:rPr>
          <w:rFonts w:ascii="Times New Roman" w:cs="Times New Roman" w:eastAsia="Times New Roman" w:hAnsi="Times New Roman"/>
          <w:b w:val="false"/>
          <w:bCs w:val="false"/>
          <w:i w:val="false"/>
          <w:iCs w:val="false"/>
          <w:sz w:val="24"/>
          <w:szCs w:val="24"/>
        </w:rPr>
        <w:t xml:space="preserve">OpenStreetMap contributors. Map tile data, © OpenStreetMap contributors. https://www.openstreetmap.org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5f7e06609fc69799b4784b331c236c65884a53.png"/><Relationship Id="rId9" Type="http://schemas.openxmlformats.org/officeDocument/2006/relationships/image" Target="media/74fd4d3b8cf1923cde5e8e0da8906eed699a34d2.png"/><Relationship Id="rId10" Type="http://schemas.openxmlformats.org/officeDocument/2006/relationships/image" Target="media/c565b3b634363d9fd0e8c8d184fc3a202a09980a.png"/><Relationship Id="rId11" Type="http://schemas.openxmlformats.org/officeDocument/2006/relationships/image" Target="media/32a52283f88c4771e06b74ca48ae82564fe1e20b.png"/><Relationship Id="rId12" Type="http://schemas.openxmlformats.org/officeDocument/2006/relationships/image" Target="media/db6aaae3e575953af7658a2b8f609a7baaf8ef0c.png"/><Relationship Id="rId13" Type="http://schemas.openxmlformats.org/officeDocument/2006/relationships/image" Target="media/305c5738fc5fe5d33ebf6a06b0c14651e483505c.png"/><Relationship Id="rId14" Type="http://schemas.openxmlformats.org/officeDocument/2006/relationships/image" Target="media/a72f7dec442ad562a1a5062c99a22e5a8f1b4b17.png"/><Relationship Id="rId15" Type="http://schemas.openxmlformats.org/officeDocument/2006/relationships/image" Target="media/1434631e27178506d07607ba4044e24b1b3e47df.png"/><Relationship Id="rId16" Type="http://schemas.openxmlformats.org/officeDocument/2006/relationships/image" Target="media/349caf248b561697f7f48739c459b447c8b5a6f5.png"/><Relationship Id="rId17" Type="http://schemas.openxmlformats.org/officeDocument/2006/relationships/image" Target="media/a9299ef7cfa861536b2bd8c01cd5f22ea8e33b1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Weather Data Analysis and Insight Generation</dc:title>
  <dc:creator>Department of Information Technology, BVDU DET</dc:creator>
  <dc:description>Mini Project Report — AAI</dc:description>
  <cp:lastModifiedBy>Un-named</cp:lastModifiedBy>
  <cp:revision>1</cp:revision>
  <dcterms:created xsi:type="dcterms:W3CDTF">2026-09-21T04:38:46.559Z</dcterms:created>
  <dcterms:modified xsi:type="dcterms:W3CDTF">2026-09-21T04:38:46.560Z</dcterms:modified>
</cp:coreProperties>
</file>

<file path=docProps/custom.xml><?xml version="1.0" encoding="utf-8"?>
<Properties xmlns="http://schemas.openxmlformats.org/officeDocument/2006/custom-properties" xmlns:vt="http://schemas.openxmlformats.org/officeDocument/2006/docPropsVTypes"/>
</file>