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Notice seeks corporate testimony and an accompanying CR 34 inspection directed at how UofL Defendants’ EHR systems handled Timmi’s August 15, 2022 PET scan report.</w:t>
      </w:r>
    </w:p>
    <w:p>
      <w:pPr>
        <w:pStyle w:val="BrfBdy"/>
      </w:pPr>
      <w:r>
        <w:t xml:space="preserve">UofL Defendants label this Notice a “fishing expedition.” That label does not survive scrutiny. As the Kentucky Supreme Court has held, “[w]hile a fishing expedition will not be tolerated, and the limited statutory privilege in KRS 421.100 must be observed, a litigant’s legitimate interest in discovery of information relevant and material to the issues must be respected.” </w:t>
      </w:r>
      <w:r>
        <w:rPr>
          <w:i/>
        </w:rPr>
        <w:t>Lexington Herald-Leader Co. v. Beard</w:t>
      </w:r>
      <w:r>
        <w:t>, 690 S.W.2d 374, 379 (Ky. 1984).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[PLACEHOLDER — counsel to insert one or two representative audit-trail entries from the production (with associated data fields and timestamps) that illustrate the ambiguity, and provide the Bates citation. The current draft contains illustrative examples that need to be verified against the produced spreadsheet before filing.]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 xml:space="preserve">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and each easily satisfies the relevance threshold of CR 26.02, which “is more loosely construed for purposes of discovery than for trial.” </w:t>
      </w:r>
      <w:r>
        <w:rPr>
          <w:i/>
        </w:rPr>
        <w:t>Ewing v. May</w:t>
      </w:r>
      <w:r>
        <w:t>, 705 S.W.2d 910, 912 (Ky. 1986).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party to identify the factual basis for its own contentions is expressly authorized by CR 33.01(2), which provides that an otherwise proper request “is not necessarily objectionable merely because an answer to the interrogatory involves an opinion or contention that relates to fact or the application of law to fact.” That authorization does not turn on which discovery vehicle is used; what may be asked in a contention interrogatory may be asked of a corporate designee under CR 30.02(6). Identifying the factual basis for a party’s own contentions is, in fact, one of the central purposes of corporate deposition practice.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t>UofL Defendants also object to the so-called “catchall” language, which states that the deposition “may cover any topics within the general knowledge of the designee(s).” That language is boilerplate, appears in countless CR 30.02(6) notices in this jurisdiction, and does not enlarge the eighteen enumerated topics. It simply reflects the practical reality that depositions occasionally touch on related matters that arise during testimony, and ordinary objections at the deposition handle anything truly out-of-scope. The catchall language alone is not a basis for a protective order.</w:t>
      </w:r>
    </w:p>
    <w:p>
      <w:pPr>
        <w:pStyle w:val="BrfBdy"/>
      </w:pPr>
      <w:r>
        <w:t xml:space="preserve">Finally, UofL Defendants’ tendered Order would require Plaintiffs to serve a separate CR 30.02(6) notice on each of the three UofL entities. CR 30.02(6) imposes no such requirement, and the Notice already accomplishes what UofL Defendants now ask for: it names each entity as “separately a ‘Deponent’” and requires each entity “to identify the designee(s) binding it on each particular topic.” That is the substance of three notices in one document. Requiring three pieces of paper instead of one would multiply procedural friction without yielding anything additional to UofL Defendants in substance.</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Defendants believed they needed additional time for any portion of the inspection, the Notice expressly invited them to ask. UofL Defendants never did. They chose instead to file this Motion. In any event, Plaintiffs have always been willing to extend the inspection to a mutually convenient date, and remain willing to do so.</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 xml:space="preserve">Although no Kentucky appellate court has yet had occasion to address the precise question, the New Jersey Appellate Division recently considered a closely analogous request in a medical malpractice case and held that an on-site inspection of a deceased patient’s EMR by plaintiff’s expert was “an eminently reasonable way to proceed under the circumstances.” </w:t>
      </w:r>
      <w:r>
        <w:rPr>
          <w:i/>
        </w:rPr>
        <w:t xml:space="preserve">Estate of Lasiw v. Pereira</w:t>
      </w:r>
      <w:r>
        <w:t xml:space="preserve">, 475 N.J. Super. 378, 401, 293 A.3d 510, 524 (App. Div. 2023). The </w:t>
      </w:r>
      <w:r>
        <w:rPr>
          <w:i/>
        </w:rPr>
        <w:t xml:space="preserve">Lasiw</w:t>
      </w:r>
      <w:r>
        <w:t xml:space="preserve"> court rejected the same concerns UofL Defendants raise here, including the risk of exposing HIPAA-protected information regarding other patients, the risk of cyberattack on the EMR system, and the alleged burden on the producing party. </w:t>
      </w:r>
      <w:r>
        <w:rPr>
          <w:i/>
        </w:rPr>
        <w:t xml:space="preserve">Id.</w:t>
      </w:r>
      <w:r>
        <w:t xml:space="preserve"> at 402–03, 293 A.3d at 525. The inspection protocol approved in </w:t>
      </w:r>
      <w:r>
        <w:rPr>
          <w:i/>
        </w:rPr>
        <w:t xml:space="preserve">Lasiw</w:t>
      </w:r>
      <w:r>
        <w:t xml:space="preserve"> mirrors the one Plaintiffs propose: the producing party’s designee operates the system, plaintiff’s counsel attends, and the inspection is limited to the single decedent’s chart. </w:t>
      </w:r>
      <w:r>
        <w:rPr>
          <w:i/>
        </w:rPr>
        <w:t xml:space="preserve">Id.</w:t>
      </w:r>
      <w:r>
        <w:t xml:space="preserve"> at 403–04, 293 A.3d at 525–26. Notably, </w:t>
      </w:r>
      <w:r>
        <w:rPr>
          <w:i/>
        </w:rPr>
        <w:t xml:space="preserve">Lasiw</w:t>
      </w:r>
      <w:r>
        <w:t xml:space="preserve"> addressed the very Sedona Principles caution UofL Defendants invoke and explained why it has no application to this kind of inspection: “Although the Sedona Principles state that inspection will unlikely be effective because those accessing the computer system are unfamiliar with it, here it would be defendants’ employees, not plaintiff’s expert, manipulating the EPIC system.” </w:t>
      </w:r>
      <w:r>
        <w:rPr>
          <w:i/>
        </w:rPr>
        <w:t xml:space="preserve">Id.</w:t>
      </w:r>
      <w:r>
        <w:t xml:space="preserve"> at 398, 293 A.3d at 522–23.</w:t>
      </w:r>
    </w:p>
    <w:p>
      <w:pPr>
        <w:pStyle w:val="BrfBdy"/>
      </w:pPr>
      <w:r>
        <w:t>Plaintiffs’ request here fits squarely within that framework. It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The federal cases on which UofL Defendants rely are, of course, only persuasive authority, and they confirm the distinction. </w:t>
      </w:r>
      <w:r>
        <w:rPr>
          <w:i/>
        </w:rPr>
        <w:t>John B. v. Goetz</w:t>
      </w:r>
      <w:r>
        <w:t xml:space="preserve">, 531 F.3d 448 (6th Cir. 2008), addressed the forensic mirror imaging of computers across multiple state agencies and private homes, to be executed by the United States Marshal, in a case where the state defendants had repeatedly violated preservation orders. </w:t>
      </w:r>
      <w:r>
        <w:rPr>
          <w:i/>
        </w:rPr>
        <w:t>Id.</w:t>
      </w:r>
      <w:r>
        <w:t xml:space="preserve"> at 455–57. The Sixth Circuit itself acknowledged that “forensic imaging is not the only available means by which the district court may respond to what it perceives to be discovery misconduct,” </w:t>
      </w:r>
      <w:r>
        <w:rPr>
          <w:i/>
        </w:rPr>
        <w:t>id.</w:t>
      </w:r>
      <w:r>
        <w:t xml:space="preserve"> at 460, and that less intrusive measures should be considered first. </w:t>
      </w:r>
      <w:r>
        <w:rPr>
          <w:i/>
        </w:rPr>
        <w:t>Scotts Co. v. Liberty Mutual</w:t>
      </w:r>
      <w:r>
        <w:t xml:space="preserve"> involved a forensic inspection sought on “mere suspicion” that information was being withheld. </w:t>
      </w:r>
      <w:r>
        <w:t xml:space="preserve">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r>
        <w:t xml:space="preserve"> The </w:t>
      </w:r>
      <w:r>
        <w:rPr>
          <w:i/>
        </w:rPr>
        <w:t>Lasiw</w:t>
      </w:r>
      <w:r>
        <w:t xml:space="preserve"> court reached the same conclusion when distinguishing these federal authorities, observing that they “addressed requests for direct access to a responding party’s electronic data and did not involve a focused request to a single patient’s EMR,” and dismissing </w:t>
      </w:r>
      <w:r>
        <w:rPr>
          <w:i/>
        </w:rPr>
        <w:t xml:space="preserve">In re Ford</w:t>
      </w:r>
      <w:r>
        <w:t xml:space="preserve"> in particular as “a case that did not involve metadata.” </w:t>
      </w:r>
      <w:r>
        <w:rPr>
          <w:i/>
        </w:rPr>
        <w:t>Estate of Lasiw</w:t>
      </w:r>
      <w:r>
        <w:t>, 475 N.J. Super. at 400, 293 A.3d at 523.</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UofL Defendants’ proposed alternative — “targeted written discovery” — is not an alternative at all. Plaintiffs already pursued written discovery on these very subjects. UofL Defendants did not respond, and the Court was compelled to enter an Order on May 26, 2026 directing UofL Defendants to “fully and completely respond” by the next day. Even with that production in hand, the audit entries remain ambiguous on their face. Another round of paper will not show what the system actually does when a provider opens, prints, forwards, or acknowledges a report. Watching the system work will.</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r>
        <w:t xml:space="preserve"> These same concerns were raised, and rejected, in </w:t>
      </w:r>
      <w:r>
        <w:rPr>
          <w:i/>
        </w:rPr>
        <w:t>Estate of Lasiw</w:t>
      </w:r>
      <w:r>
        <w:t>, 293 A.3d at 525.</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The parties should then confer in good faith and proceed with the CR 30.02(6) deposition and CR 34 inspection on a mutually convenient date. In the alternative, should the Court limit the live inspection or the related audit-trail discovery, Plaintiffs request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