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CR 30.02(6) Notice is directed at how that failure happened inside UofL Defendants’ electronic health record systems. The Notice asks UofL Defendants to designate witnesses on three categories of issues. First, the Notice asks how PET scan reports travel through UofL Defendants’ PACS, In-Basket, “acknowledgment,” and MyChart systems. Second, it asks how the audit data UofL Defendants have produced should be interpreted, and what that data does and does not show. Third, it asks UofL Defendants to identify the factual support for certain contentions UofL Defendants have placed at issue in this case. The companion CR 34 request asks UofL Defendants’ designees to demonstrate the answers by screen-sharing Timmi’s live chart on Zoom. That is the same way UofL Defendants’ providers and staff view the chart every day.</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 In the alternative, should the Court limit the inspection, Plaintiffs respectfully ask that UofL Defendants be precluded from using the audit trail offensively to argue that Timmi knew about her cancer.</w:t>
      </w:r>
    </w:p>
    <w:p>
      <w:pPr>
        <w:pStyle w:val="BrfBdy"/>
      </w:pPr>
      <w:r>
        <w:t>One last point at the outset. UofL Defendants invoke meet-and-confer principles throughout their brief. Yet they filed this Motion only six days after Plaintiffs served the Notice, without a single telephone call, email, or letter raising specific objections. The Notice itself invited dialogue on both scheduling and substance, in two separate footnotes. Plaintiffs’ counsel remain prepared to discuss reasonable adjustments. The appropriate resolution here is for the parties to confer and proceed with the deposition and inspection on a workable schedule, not for the Court to enter a protective order shutting down what is plainly proper discovery.</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BrfBdy"/>
      </w:pPr>
      <w:r>
        <w:rPr>
          <w:i/>
        </w:rPr>
        <w:t xml:space="preserve">No meet and confer occurred. </w:t>
      </w:r>
      <w:r>
        <w:t>The Notice itself invited dialogue. The first footnote stated: “If the date selected does not work for witness or counsel, please contact the undersigned, and we will adjust to a date within the court-ordered due dates.” The second footnote stated: “Counsel are prepared to discuss and attempt to resolve any disagreement as to scope or content of the Topics; please contact the undersigned as soon as convenient should that be necessary.” Plaintiffs’ counsel separately reached out to defense counsel after serving the Notice to discuss reasonable adjustments. UofL Defendants nevertheless filed this Motion six days after the Notice was served, without ever raising specific objections.</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913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corporate defendant to identify the factual basis for its own contentions is permissible and routine. It is, in fact, one of the central purposes of CR 30.02(6).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Finally, UofL Defendants object to the so-called “catchall” language in the Notice, which states that the deposition “may cover any topics within the general knowledge of the designee(s).” This language is unremarkable. It appears in countless 30.02(6) notices in this jurisdiction. It does not convert the deposition into limitless discovery. It simply reflects the practical reality that depositions occasionally touch on related matters that arise during testimony. UofL Defendants are protected from genuine overreach by the existing rules. The catchall language alone is not a basis for a protective order.</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Plaintiffs’ request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Although no Kentucky appellate court has yet had occasion to address the precise question, the New Jersey Appellate Division recently considered a closely analogous request in a medical malpractice case and held that an on-site inspection of a deceased patient’s EMR by plaintiff’s expert was “an eminently reasonable way to proceed under the circumstances.” </w:t>
      </w:r>
      <w:r>
        <w:rPr>
          <w:i/>
        </w:rPr>
        <w:t xml:space="preserve">Estate of Lasiw v. Pereira</w:t>
      </w:r>
      <w:r>
        <w:t xml:space="preserve">, 475 N.J. Super. 378, 400, 293 A.3d 510, 524 (App. Div. 2023). The </w:t>
      </w:r>
      <w:r>
        <w:rPr>
          <w:i/>
        </w:rPr>
        <w:t xml:space="preserve">Lasiw</w:t>
      </w:r>
      <w:r>
        <w:t xml:space="preserve"> court rejected the same concerns UofL Defendants raise here, including the risk of exposing HIPAA-protected information regarding other patients, the risk of cyberattack on the EMR system, and the alleged burden on the producing party. </w:t>
      </w:r>
      <w:r>
        <w:rPr>
          <w:i/>
        </w:rPr>
        <w:t xml:space="preserve">Id.</w:t>
      </w:r>
      <w:r>
        <w:t xml:space="preserve"> at 401–03, 293 A.3d at 525. The inspection protocol approved in </w:t>
      </w:r>
      <w:r>
        <w:rPr>
          <w:i/>
        </w:rPr>
        <w:t xml:space="preserve">Lasiw</w:t>
      </w:r>
      <w:r>
        <w:t xml:space="preserve"> mirrors the one Plaintiffs propose: the producing party’s designee operates the system, plaintiff’s counsel attends, and the inspection is limited to the single decedent’s chart. </w:t>
      </w:r>
      <w:r>
        <w:rPr>
          <w:i/>
        </w:rPr>
        <w:t xml:space="preserve">Id.</w:t>
      </w:r>
      <w:r>
        <w:t xml:space="preserve"> at 403–04, 293 A.3d at 525–26. Notably, </w:t>
      </w:r>
      <w:r>
        <w:rPr>
          <w:i/>
        </w:rPr>
        <w:t xml:space="preserve">Lasiw</w:t>
      </w:r>
      <w:r>
        <w:t xml:space="preserve"> addressed the very Sedona Principles caution UofL Defendants invoke and explained why it has no application to this kind of inspection: “Although the Sedona Principles state that inspection will unlikely be effective because those accessing the computer system are unfamiliar with it, here it would be defendants’ employees, not plaintiff’s expert, manipulating the EPIC system.” </w:t>
      </w:r>
      <w:r>
        <w:rPr>
          <w:i/>
        </w:rPr>
        <w:t xml:space="preserve">Id.</w:t>
      </w:r>
      <w:r>
        <w:t xml:space="preserve"> at 398, 293 A.3d at 522–23.</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rPr>
          <w:i/>
        </w:rPr>
        <w:t>In re Ford Motor Co.</w:t>
      </w:r>
      <w:r>
        <w:t xml:space="preserve"> addressed a request to “conduct the actual search” of an opposing party’s files. 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r>
        <w:t xml:space="preserve"> The </w:t>
      </w:r>
      <w:r>
        <w:rPr>
          <w:i/>
        </w:rPr>
        <w:t>Lasiw</w:t>
      </w:r>
      <w:r>
        <w:t xml:space="preserve"> court reached the same conclusion when distinguishing these federal authorities, noting that they “addressed requests for direct access to a responding party’s electronic data and did not involve a focused request to a single patient’s EMR.” </w:t>
      </w:r>
      <w:r>
        <w:rPr>
          <w:i/>
        </w:rPr>
        <w:t>Estate of Lasiw</w:t>
      </w:r>
      <w:r>
        <w:t>, 293 A.3d at 524.</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It is difficult to imagine what “targeted written discovery,” as UofL Defendants suggest, could substitute for the simple act of watching the system work.</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r>
        <w:t xml:space="preserve"> These same concerns were raised, and rejected, in </w:t>
      </w:r>
      <w:r>
        <w:rPr>
          <w:i/>
        </w:rPr>
        <w:t>Estate of Lasiw</w:t>
      </w:r>
      <w:r>
        <w:t>, 293 A.3d at 525.</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and order the parties to confer in good faith and proceed with the CR 30.02(6) deposition and CR 34 inspection on a mutually convenient date. In the alternative, should the Court grant any portion of the Motion limiting the live inspection or the related audit-trail discovery, Plaintiffs request that the Court enter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