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F287A" w14:textId="67684CBF" w:rsidR="00C323E7" w:rsidRPr="00404255" w:rsidRDefault="00C323E7" w:rsidP="00C323E7">
      <w:pPr>
        <w:tabs>
          <w:tab w:val="right" w:pos="9360"/>
        </w:tabs>
        <w:autoSpaceDE w:val="0"/>
        <w:autoSpaceDN w:val="0"/>
        <w:adjustRightInd w:val="0"/>
        <w:spacing w:line="240" w:lineRule="auto"/>
        <w:ind w:firstLine="0"/>
        <w:rPr>
          <w:bCs/>
        </w:rPr>
      </w:pPr>
      <w:bookmarkStart w:id="0" w:name="_Hlk140673346"/>
      <w:r w:rsidRPr="00404255">
        <w:rPr>
          <w:bCs/>
        </w:rPr>
        <w:t>NO.</w:t>
      </w:r>
      <w:r>
        <w:rPr>
          <w:bCs/>
        </w:rPr>
        <w:t xml:space="preserve"> </w:t>
      </w:r>
      <w:r w:rsidR="008C6B51">
        <w:rPr>
          <w:bCs/>
        </w:rPr>
        <w:t>25-CI-002964</w:t>
      </w:r>
      <w:r>
        <w:rPr>
          <w:bCs/>
        </w:rPr>
        <w:tab/>
      </w:r>
      <w:r w:rsidRPr="00404255">
        <w:rPr>
          <w:bCs/>
        </w:rPr>
        <w:t>JEFFERSON CIRCUIT COURT</w:t>
      </w:r>
    </w:p>
    <w:p w14:paraId="2E209661" w14:textId="0036590A" w:rsidR="00C323E7" w:rsidRPr="00404255" w:rsidRDefault="00C323E7" w:rsidP="00C323E7">
      <w:pPr>
        <w:tabs>
          <w:tab w:val="right" w:pos="9360"/>
        </w:tabs>
        <w:autoSpaceDE w:val="0"/>
        <w:autoSpaceDN w:val="0"/>
        <w:adjustRightInd w:val="0"/>
        <w:spacing w:line="240" w:lineRule="auto"/>
        <w:rPr>
          <w:bCs/>
        </w:rPr>
      </w:pPr>
      <w:r w:rsidRPr="00404255">
        <w:rPr>
          <w:bCs/>
        </w:rPr>
        <w:tab/>
        <w:t>DIVISION</w:t>
      </w:r>
      <w:r>
        <w:rPr>
          <w:bCs/>
        </w:rPr>
        <w:t xml:space="preserve"> </w:t>
      </w:r>
      <w:r w:rsidR="006C3791">
        <w:rPr>
          <w:bCs/>
        </w:rPr>
        <w:t>FOUR (4)</w:t>
      </w:r>
      <w:r w:rsidRPr="00404255">
        <w:rPr>
          <w:bCs/>
        </w:rPr>
        <w:t xml:space="preserve"> </w:t>
      </w:r>
    </w:p>
    <w:p w14:paraId="3335DAB6" w14:textId="03FC3350" w:rsidR="00C323E7" w:rsidRDefault="00C323E7" w:rsidP="00C323E7">
      <w:pPr>
        <w:tabs>
          <w:tab w:val="right" w:pos="9360"/>
        </w:tabs>
        <w:autoSpaceDE w:val="0"/>
        <w:autoSpaceDN w:val="0"/>
        <w:adjustRightInd w:val="0"/>
        <w:spacing w:line="240" w:lineRule="auto"/>
        <w:rPr>
          <w:bCs/>
        </w:rPr>
      </w:pPr>
      <w:r w:rsidRPr="00404255">
        <w:rPr>
          <w:bCs/>
        </w:rPr>
        <w:tab/>
        <w:t>JUDGE</w:t>
      </w:r>
      <w:r>
        <w:rPr>
          <w:bCs/>
        </w:rPr>
        <w:t xml:space="preserve"> </w:t>
      </w:r>
      <w:r w:rsidR="006C3791">
        <w:rPr>
          <w:bCs/>
        </w:rPr>
        <w:t>JULIE KAELIN</w:t>
      </w:r>
      <w:r w:rsidRPr="00404255">
        <w:rPr>
          <w:bCs/>
        </w:rPr>
        <w:t xml:space="preserve"> </w:t>
      </w:r>
    </w:p>
    <w:p w14:paraId="341438EE" w14:textId="77777777" w:rsidR="00C323E7" w:rsidRPr="00712829" w:rsidRDefault="00C323E7" w:rsidP="00C323E7">
      <w:pPr>
        <w:spacing w:line="240" w:lineRule="auto"/>
        <w:rPr>
          <w:bCs/>
        </w:rPr>
      </w:pPr>
    </w:p>
    <w:p w14:paraId="06D8E0E0" w14:textId="77777777" w:rsidR="00C323E7" w:rsidRDefault="00C323E7" w:rsidP="00C323E7">
      <w:pPr>
        <w:tabs>
          <w:tab w:val="right" w:pos="9360"/>
        </w:tabs>
        <w:spacing w:line="240" w:lineRule="auto"/>
        <w:ind w:firstLine="0"/>
        <w:jc w:val="center"/>
        <w:rPr>
          <w:bCs/>
          <w:i/>
        </w:rPr>
      </w:pPr>
      <w:r w:rsidRPr="00B13AA9">
        <w:rPr>
          <w:bCs/>
          <w:i/>
        </w:rPr>
        <w:t>ELECTRONICALLY FILED</w:t>
      </w:r>
    </w:p>
    <w:p w14:paraId="49379FC1" w14:textId="77777777" w:rsidR="00C323E7" w:rsidRPr="00B13AA9" w:rsidRDefault="00C323E7" w:rsidP="00C323E7">
      <w:pPr>
        <w:tabs>
          <w:tab w:val="right" w:pos="9360"/>
        </w:tabs>
        <w:spacing w:line="240" w:lineRule="auto"/>
        <w:jc w:val="center"/>
        <w:rPr>
          <w:bCs/>
          <w:i/>
        </w:rPr>
      </w:pPr>
    </w:p>
    <w:p w14:paraId="75F899A9" w14:textId="77777777" w:rsidR="00C323E7" w:rsidRPr="00B55872" w:rsidRDefault="00C323E7" w:rsidP="00C323E7">
      <w:pPr>
        <w:tabs>
          <w:tab w:val="right" w:pos="9360"/>
        </w:tabs>
        <w:autoSpaceDE w:val="0"/>
        <w:autoSpaceDN w:val="0"/>
        <w:adjustRightInd w:val="0"/>
        <w:spacing w:line="240" w:lineRule="auto"/>
        <w:ind w:firstLine="0"/>
        <w:jc w:val="left"/>
        <w:rPr>
          <w:rFonts w:eastAsiaTheme="minorHAnsi"/>
          <w:bCs/>
          <w:kern w:val="2"/>
        </w:rPr>
      </w:pPr>
    </w:p>
    <w:p w14:paraId="7F6CEC21" w14:textId="44A6EAE9" w:rsidR="00F92D5E" w:rsidRDefault="00544C40" w:rsidP="00544C40">
      <w:pPr>
        <w:tabs>
          <w:tab w:val="right" w:pos="9360"/>
        </w:tabs>
        <w:autoSpaceDE w:val="0"/>
        <w:autoSpaceDN w:val="0"/>
        <w:adjustRightInd w:val="0"/>
        <w:spacing w:line="240" w:lineRule="auto"/>
        <w:ind w:firstLine="0"/>
        <w:jc w:val="left"/>
        <w:rPr>
          <w:rFonts w:eastAsiaTheme="minorHAnsi"/>
          <w:bCs/>
          <w:kern w:val="2"/>
        </w:rPr>
      </w:pPr>
      <w:bookmarkStart w:id="1" w:name="_Hlk195783951"/>
      <w:r w:rsidRPr="00B55872">
        <w:rPr>
          <w:rFonts w:eastAsiaTheme="minorHAnsi"/>
          <w:bCs/>
          <w:kern w:val="2"/>
        </w:rPr>
        <w:t>CHARLES TINKER, INDIVIDUALLY AND</w:t>
      </w:r>
    </w:p>
    <w:p w14:paraId="6AE2E8D5" w14:textId="0DA1FF1C" w:rsidR="00F92D5E" w:rsidRDefault="00544C40" w:rsidP="00544C40">
      <w:pPr>
        <w:tabs>
          <w:tab w:val="right" w:pos="9360"/>
        </w:tabs>
        <w:autoSpaceDE w:val="0"/>
        <w:autoSpaceDN w:val="0"/>
        <w:adjustRightInd w:val="0"/>
        <w:spacing w:line="240" w:lineRule="auto"/>
        <w:ind w:firstLine="0"/>
        <w:jc w:val="left"/>
        <w:rPr>
          <w:rFonts w:eastAsiaTheme="minorHAnsi"/>
          <w:bCs/>
          <w:kern w:val="2"/>
        </w:rPr>
      </w:pPr>
      <w:r w:rsidRPr="00B55872">
        <w:rPr>
          <w:rFonts w:eastAsiaTheme="minorHAnsi"/>
          <w:bCs/>
          <w:kern w:val="2"/>
        </w:rPr>
        <w:t>AS EXECUTOR</w:t>
      </w:r>
      <w:r w:rsidR="00F92D5E">
        <w:rPr>
          <w:rFonts w:eastAsiaTheme="minorHAnsi"/>
          <w:bCs/>
          <w:kern w:val="2"/>
        </w:rPr>
        <w:t xml:space="preserve"> </w:t>
      </w:r>
      <w:r w:rsidRPr="00B55872">
        <w:rPr>
          <w:rFonts w:eastAsiaTheme="minorHAnsi"/>
          <w:bCs/>
          <w:kern w:val="2"/>
        </w:rPr>
        <w:t>OF THE ESTATE OF</w:t>
      </w:r>
    </w:p>
    <w:p w14:paraId="13444F5A" w14:textId="36F833AB" w:rsidR="00544C40" w:rsidRPr="00F92D5E" w:rsidRDefault="00544C40" w:rsidP="00544C40">
      <w:pPr>
        <w:tabs>
          <w:tab w:val="right" w:pos="9360"/>
        </w:tabs>
        <w:autoSpaceDE w:val="0"/>
        <w:autoSpaceDN w:val="0"/>
        <w:adjustRightInd w:val="0"/>
        <w:spacing w:line="240" w:lineRule="auto"/>
        <w:ind w:firstLine="0"/>
        <w:jc w:val="left"/>
        <w:rPr>
          <w:rFonts w:eastAsiaTheme="minorHAnsi"/>
          <w:bCs/>
          <w:kern w:val="2"/>
        </w:rPr>
      </w:pPr>
      <w:r w:rsidRPr="00B55872">
        <w:rPr>
          <w:rFonts w:eastAsiaTheme="minorHAnsi"/>
          <w:bCs/>
          <w:kern w:val="2"/>
        </w:rPr>
        <w:t xml:space="preserve">THELMA TINKER, DECEASED, </w:t>
      </w:r>
      <w:r>
        <w:rPr>
          <w:rFonts w:eastAsiaTheme="minorHAnsi"/>
          <w:bCs/>
          <w:kern w:val="2"/>
        </w:rPr>
        <w:t>ET AL.</w:t>
      </w:r>
      <w:r>
        <w:rPr>
          <w:rFonts w:eastAsiaTheme="minorHAnsi"/>
          <w:bCs/>
          <w:kern w:val="2"/>
        </w:rPr>
        <w:tab/>
      </w:r>
      <w:r w:rsidRPr="00303DA6">
        <w:rPr>
          <w:bCs/>
        </w:rPr>
        <w:t>PLAINTIFF</w:t>
      </w:r>
      <w:r>
        <w:rPr>
          <w:bCs/>
        </w:rPr>
        <w:t>S</w:t>
      </w:r>
    </w:p>
    <w:bookmarkEnd w:id="1"/>
    <w:p w14:paraId="373E874F" w14:textId="77777777" w:rsidR="00C323E7" w:rsidRPr="00303DA6" w:rsidRDefault="00C323E7" w:rsidP="00C323E7">
      <w:pPr>
        <w:spacing w:line="240" w:lineRule="auto"/>
        <w:ind w:firstLine="0"/>
        <w:rPr>
          <w:bCs/>
        </w:rPr>
      </w:pPr>
    </w:p>
    <w:p w14:paraId="265B4E09" w14:textId="77777777" w:rsidR="00B76C5F" w:rsidRDefault="00C323E7" w:rsidP="00C323E7">
      <w:pPr>
        <w:tabs>
          <w:tab w:val="center" w:pos="4680"/>
        </w:tabs>
        <w:spacing w:line="240" w:lineRule="auto"/>
        <w:ind w:firstLine="0"/>
        <w:rPr>
          <w:bCs/>
        </w:rPr>
      </w:pPr>
      <w:r w:rsidRPr="00133B9B">
        <w:rPr>
          <w:bCs/>
        </w:rPr>
        <w:t>v.</w:t>
      </w:r>
    </w:p>
    <w:p w14:paraId="74D9C1C1" w14:textId="0664F080" w:rsidR="00C323E7" w:rsidRDefault="00B76C5F" w:rsidP="00B76C5F">
      <w:pPr>
        <w:tabs>
          <w:tab w:val="center" w:pos="4680"/>
        </w:tabs>
        <w:spacing w:line="240" w:lineRule="auto"/>
        <w:ind w:firstLine="0"/>
        <w:jc w:val="center"/>
        <w:rPr>
          <w:b/>
          <w:bCs/>
          <w:u w:val="single"/>
        </w:rPr>
      </w:pPr>
      <w:r>
        <w:rPr>
          <w:b/>
          <w:bCs/>
          <w:u w:val="single"/>
        </w:rPr>
        <w:t>PLAINTIFFS’ RESPONSE TO MOTION FOR PARTIAL SUMMARY JUDGMENT AS TO LOSS OF PARENTAL CONSORTIUM CLAIMS</w:t>
      </w:r>
    </w:p>
    <w:p w14:paraId="61DCBC2B" w14:textId="77777777" w:rsidR="00B76C5F" w:rsidRDefault="00B76C5F" w:rsidP="00C323E7">
      <w:pPr>
        <w:tabs>
          <w:tab w:val="center" w:pos="4680"/>
        </w:tabs>
        <w:spacing w:line="240" w:lineRule="auto"/>
        <w:ind w:firstLine="0"/>
        <w:rPr>
          <w:b/>
          <w:bCs/>
          <w:u w:val="single"/>
        </w:rPr>
      </w:pPr>
    </w:p>
    <w:p w14:paraId="60EB0412" w14:textId="77777777" w:rsidR="00C323E7" w:rsidRPr="003B4F92" w:rsidRDefault="00C323E7" w:rsidP="00C323E7">
      <w:pPr>
        <w:spacing w:line="240" w:lineRule="auto"/>
        <w:ind w:firstLine="0"/>
        <w:rPr>
          <w:bCs/>
        </w:rPr>
      </w:pPr>
    </w:p>
    <w:p w14:paraId="3308033A" w14:textId="77777777" w:rsidR="00C323E7" w:rsidRDefault="00C323E7" w:rsidP="00C323E7">
      <w:pPr>
        <w:tabs>
          <w:tab w:val="right" w:pos="9360"/>
        </w:tabs>
        <w:spacing w:line="240" w:lineRule="auto"/>
        <w:ind w:firstLine="0"/>
        <w:rPr>
          <w:bCs/>
        </w:rPr>
      </w:pPr>
      <w:r w:rsidRPr="00303DA6">
        <w:rPr>
          <w:bCs/>
        </w:rPr>
        <w:t>UofL HEALTH-LOUISVILLE, I</w:t>
      </w:r>
      <w:r>
        <w:rPr>
          <w:bCs/>
        </w:rPr>
        <w:t>NC.</w:t>
      </w:r>
    </w:p>
    <w:p w14:paraId="557095FF" w14:textId="5ACA112C" w:rsidR="00C323E7" w:rsidRPr="00303DA6" w:rsidRDefault="00C323E7" w:rsidP="00C323E7">
      <w:pPr>
        <w:tabs>
          <w:tab w:val="right" w:pos="9360"/>
        </w:tabs>
        <w:spacing w:line="240" w:lineRule="auto"/>
        <w:ind w:firstLine="0"/>
        <w:rPr>
          <w:bCs/>
        </w:rPr>
      </w:pPr>
      <w:r w:rsidRPr="00303DA6">
        <w:rPr>
          <w:bCs/>
        </w:rPr>
        <w:t>d/b/a</w:t>
      </w:r>
      <w:r w:rsidRPr="00303DA6">
        <w:rPr>
          <w:bCs/>
          <w:i/>
          <w:iCs/>
        </w:rPr>
        <w:t xml:space="preserve"> </w:t>
      </w:r>
      <w:r w:rsidRPr="00303DA6">
        <w:rPr>
          <w:bCs/>
        </w:rPr>
        <w:t>UofL H</w:t>
      </w:r>
      <w:r w:rsidR="00E21C5E">
        <w:rPr>
          <w:bCs/>
        </w:rPr>
        <w:t>EALTH</w:t>
      </w:r>
      <w:r>
        <w:rPr>
          <w:bCs/>
        </w:rPr>
        <w:t>, ET AL.</w:t>
      </w:r>
      <w:r w:rsidRPr="00303DA6">
        <w:rPr>
          <w:bCs/>
        </w:rPr>
        <w:tab/>
        <w:t xml:space="preserve"> DEFENDANT</w:t>
      </w:r>
      <w:r>
        <w:rPr>
          <w:bCs/>
        </w:rPr>
        <w:t>S</w:t>
      </w:r>
    </w:p>
    <w:bookmarkEnd w:id="0"/>
    <w:p w14:paraId="5B372DE1" w14:textId="77777777" w:rsidR="00C323E7" w:rsidRPr="00303DA6" w:rsidRDefault="00C323E7" w:rsidP="00C323E7">
      <w:pPr>
        <w:spacing w:line="240" w:lineRule="auto"/>
        <w:ind w:firstLine="0"/>
        <w:rPr>
          <w:bCs/>
        </w:rPr>
      </w:pPr>
    </w:p>
    <w:p w14:paraId="6EE7ED32" w14:textId="77777777" w:rsidR="00C323E7" w:rsidRDefault="00C323E7" w:rsidP="00C323E7">
      <w:pPr>
        <w:autoSpaceDE w:val="0"/>
        <w:autoSpaceDN w:val="0"/>
        <w:adjustRightInd w:val="0"/>
        <w:spacing w:line="240" w:lineRule="auto"/>
        <w:jc w:val="center"/>
      </w:pPr>
      <w:r w:rsidRPr="0060775E">
        <w:t>* * * * * *</w:t>
      </w:r>
    </w:p>
    <w:p w14:paraId="52839CE9" w14:textId="77777777" w:rsidR="00C323E7" w:rsidRPr="00C323E7" w:rsidRDefault="00C323E7" w:rsidP="00C323E7">
      <w:pPr>
        <w:autoSpaceDE w:val="0"/>
        <w:autoSpaceDN w:val="0"/>
        <w:adjustRightInd w:val="0"/>
        <w:spacing w:line="240" w:lineRule="auto"/>
        <w:jc w:val="center"/>
      </w:pPr>
    </w:p>
    <w:p w14:paraId="16864A5E" w14:textId="51FE4CF7" w:rsidR="00E20FE9" w:rsidRDefault="00E20FE9" w:rsidP="001E6C94">
      <w:pPr>
        <w:pStyle w:val="BrfBdy"/>
        <w:rPr>
          <w:szCs w:val="24"/>
        </w:rPr>
      </w:pPr>
      <w:r>
        <w:rPr>
          <w:szCs w:val="24"/>
        </w:rPr>
        <w:t xml:space="preserve">Plaintiffs, by counsel, in response to Defendant’s motion for partial summary judgment requesting the Court to dismiss the loss of consortium claims of </w:t>
      </w:r>
      <w:r w:rsidR="006A2EC6">
        <w:rPr>
          <w:szCs w:val="24"/>
        </w:rPr>
        <w:t>Thelma “</w:t>
      </w:r>
      <w:r>
        <w:rPr>
          <w:szCs w:val="24"/>
        </w:rPr>
        <w:t>Timmi</w:t>
      </w:r>
      <w:r w:rsidR="006A2EC6">
        <w:rPr>
          <w:szCs w:val="24"/>
        </w:rPr>
        <w:t>”</w:t>
      </w:r>
      <w:r>
        <w:rPr>
          <w:szCs w:val="24"/>
        </w:rPr>
        <w:t xml:space="preserve"> Tinker’s children, states as follows.</w:t>
      </w:r>
    </w:p>
    <w:p w14:paraId="593267CD" w14:textId="3DA48481" w:rsidR="00211B8A" w:rsidRDefault="00E20FE9" w:rsidP="001E6C94">
      <w:pPr>
        <w:pStyle w:val="BrfBdy"/>
        <w:rPr>
          <w:szCs w:val="24"/>
        </w:rPr>
      </w:pPr>
      <w:r>
        <w:rPr>
          <w:szCs w:val="24"/>
        </w:rPr>
        <w:t>Yes, Timmi’s four children are all adults. However,</w:t>
      </w:r>
      <w:r w:rsidR="00211B8A">
        <w:rPr>
          <w:szCs w:val="24"/>
        </w:rPr>
        <w:t xml:space="preserve"> that </w:t>
      </w:r>
      <w:r w:rsidR="00580D01">
        <w:rPr>
          <w:szCs w:val="24"/>
        </w:rPr>
        <w:t>does</w:t>
      </w:r>
      <w:r w:rsidR="00211B8A">
        <w:rPr>
          <w:szCs w:val="24"/>
        </w:rPr>
        <w:t xml:space="preserve"> not mean that Timmi stopped providing love, guidance, advice, companionship, and help to each of her children after they turned 18. </w:t>
      </w:r>
    </w:p>
    <w:p w14:paraId="216FD245" w14:textId="77777777" w:rsidR="00580D01" w:rsidRDefault="00211B8A" w:rsidP="001E6C94">
      <w:pPr>
        <w:pStyle w:val="BrfBdy"/>
        <w:rPr>
          <w:szCs w:val="24"/>
        </w:rPr>
      </w:pPr>
      <w:r>
        <w:rPr>
          <w:szCs w:val="24"/>
        </w:rPr>
        <w:t xml:space="preserve">On May 17, 2024, Timmi died after </w:t>
      </w:r>
      <w:r w:rsidR="00580D01">
        <w:rPr>
          <w:szCs w:val="24"/>
        </w:rPr>
        <w:t xml:space="preserve">her primary care physician, </w:t>
      </w:r>
      <w:r>
        <w:rPr>
          <w:szCs w:val="24"/>
        </w:rPr>
        <w:t>Dr. Gettis</w:t>
      </w:r>
      <w:r w:rsidR="00580D01">
        <w:rPr>
          <w:szCs w:val="24"/>
        </w:rPr>
        <w:t>,</w:t>
      </w:r>
      <w:r>
        <w:rPr>
          <w:szCs w:val="24"/>
        </w:rPr>
        <w:t xml:space="preserve"> failed to </w:t>
      </w:r>
      <w:r w:rsidR="00580D01">
        <w:rPr>
          <w:szCs w:val="24"/>
        </w:rPr>
        <w:t xml:space="preserve">tell her that an August 15, </w:t>
      </w:r>
      <w:proofErr w:type="gramStart"/>
      <w:r w:rsidR="00580D01">
        <w:rPr>
          <w:szCs w:val="24"/>
        </w:rPr>
        <w:t>2022</w:t>
      </w:r>
      <w:proofErr w:type="gramEnd"/>
      <w:r w:rsidR="00580D01">
        <w:rPr>
          <w:szCs w:val="24"/>
        </w:rPr>
        <w:t xml:space="preserve"> PET scan was positive for cancer. In fact, Dr. Gettis failed to acknowledge the August 15, </w:t>
      </w:r>
      <w:proofErr w:type="gramStart"/>
      <w:r w:rsidR="00580D01">
        <w:rPr>
          <w:szCs w:val="24"/>
        </w:rPr>
        <w:t>2022</w:t>
      </w:r>
      <w:proofErr w:type="gramEnd"/>
      <w:r w:rsidR="00580D01">
        <w:rPr>
          <w:szCs w:val="24"/>
        </w:rPr>
        <w:t xml:space="preserve"> PET scan result for </w:t>
      </w:r>
      <w:proofErr w:type="gramStart"/>
      <w:r w:rsidR="00580D01">
        <w:rPr>
          <w:szCs w:val="24"/>
        </w:rPr>
        <w:t>20-months</w:t>
      </w:r>
      <w:proofErr w:type="gramEnd"/>
      <w:r w:rsidR="00580D01">
        <w:rPr>
          <w:szCs w:val="24"/>
        </w:rPr>
        <w:t>. And even then, Dr. Gettis failed to tell Timmi about these results.</w:t>
      </w:r>
    </w:p>
    <w:p w14:paraId="5D81C7A1" w14:textId="2CA1C914" w:rsidR="00D72367" w:rsidRDefault="00580D01" w:rsidP="00D72367">
      <w:pPr>
        <w:pStyle w:val="BrfBdy"/>
        <w:rPr>
          <w:szCs w:val="24"/>
        </w:rPr>
      </w:pPr>
      <w:r>
        <w:rPr>
          <w:szCs w:val="24"/>
        </w:rPr>
        <w:t xml:space="preserve">Timmi’s children joined their dad in bringing this lawsuit to assert claims for their own loss of </w:t>
      </w:r>
      <w:proofErr w:type="gramStart"/>
      <w:r>
        <w:rPr>
          <w:szCs w:val="24"/>
        </w:rPr>
        <w:t>the love</w:t>
      </w:r>
      <w:proofErr w:type="gramEnd"/>
      <w:r>
        <w:rPr>
          <w:szCs w:val="24"/>
        </w:rPr>
        <w:t xml:space="preserve">, affection, companionship, services, assistance, aid, and </w:t>
      </w:r>
      <w:r>
        <w:rPr>
          <w:szCs w:val="24"/>
        </w:rPr>
        <w:lastRenderedPageBreak/>
        <w:t>society of their mom. Dr. Gettis now moves to dismiss the kids’ loss of consortium claims arguing Kentucky does not permit adult children to pursue such damages.</w:t>
      </w:r>
      <w:r w:rsidR="00D72367" w:rsidRPr="00D72367">
        <w:rPr>
          <w:szCs w:val="24"/>
        </w:rPr>
        <w:t xml:space="preserve"> </w:t>
      </w:r>
      <w:r w:rsidR="00D72367">
        <w:rPr>
          <w:szCs w:val="24"/>
        </w:rPr>
        <w:t>However, t</w:t>
      </w:r>
      <w:r w:rsidR="00D72367" w:rsidRPr="003A16ED">
        <w:rPr>
          <w:szCs w:val="24"/>
        </w:rPr>
        <w:t xml:space="preserve">he Kentucky Supreme Court has </w:t>
      </w:r>
      <w:r w:rsidR="00D72367" w:rsidRPr="00E20FE9">
        <w:rPr>
          <w:b/>
          <w:bCs/>
          <w:szCs w:val="24"/>
          <w:u w:val="single"/>
        </w:rPr>
        <w:t>never</w:t>
      </w:r>
      <w:r w:rsidR="00D72367" w:rsidRPr="003A16ED">
        <w:rPr>
          <w:szCs w:val="24"/>
        </w:rPr>
        <w:t xml:space="preserve"> held that a loss of parental consortium claim terminates </w:t>
      </w:r>
      <w:r w:rsidR="00D72367">
        <w:rPr>
          <w:szCs w:val="24"/>
        </w:rPr>
        <w:t>when a child turns 18. In</w:t>
      </w:r>
      <w:r w:rsidR="00D72367" w:rsidRPr="003A16ED">
        <w:rPr>
          <w:szCs w:val="24"/>
        </w:rPr>
        <w:t xml:space="preserve"> fact</w:t>
      </w:r>
      <w:r w:rsidR="00D72367">
        <w:rPr>
          <w:szCs w:val="24"/>
        </w:rPr>
        <w:t>, the Court</w:t>
      </w:r>
      <w:r w:rsidR="00D72367" w:rsidRPr="003A16ED">
        <w:rPr>
          <w:szCs w:val="24"/>
        </w:rPr>
        <w:t xml:space="preserve"> expressly stated that it has </w:t>
      </w:r>
      <w:r w:rsidR="00D72367" w:rsidRPr="00CA61EF">
        <w:rPr>
          <w:b/>
          <w:bCs/>
          <w:szCs w:val="24"/>
        </w:rPr>
        <w:t>never</w:t>
      </w:r>
      <w:r w:rsidR="00D72367" w:rsidRPr="003A16ED">
        <w:rPr>
          <w:szCs w:val="24"/>
        </w:rPr>
        <w:t xml:space="preserve"> imposed age limits for this claim. </w:t>
      </w:r>
      <w:r w:rsidR="00D72367" w:rsidRPr="003A16ED">
        <w:rPr>
          <w:i/>
          <w:iCs/>
          <w:szCs w:val="24"/>
        </w:rPr>
        <w:t xml:space="preserve">Martin v. Ohio </w:t>
      </w:r>
      <w:proofErr w:type="spellStart"/>
      <w:r w:rsidR="00D72367" w:rsidRPr="003A16ED">
        <w:rPr>
          <w:i/>
          <w:iCs/>
          <w:szCs w:val="24"/>
        </w:rPr>
        <w:t>Cnty</w:t>
      </w:r>
      <w:proofErr w:type="spellEnd"/>
      <w:r w:rsidR="00D72367" w:rsidRPr="003A16ED">
        <w:rPr>
          <w:i/>
          <w:iCs/>
          <w:szCs w:val="24"/>
        </w:rPr>
        <w:t>. Hosp. Corp.</w:t>
      </w:r>
      <w:r w:rsidR="00D72367" w:rsidRPr="003A16ED">
        <w:rPr>
          <w:szCs w:val="24"/>
        </w:rPr>
        <w:t xml:space="preserve">, 295 S.W.3d 104, 108 (Ky. 2009). </w:t>
      </w:r>
    </w:p>
    <w:p w14:paraId="2BC8A7B0" w14:textId="3B5FD944" w:rsidR="00123081" w:rsidRPr="00D72367" w:rsidRDefault="00D72367" w:rsidP="00D72367">
      <w:pPr>
        <w:pStyle w:val="BrfBdy"/>
        <w:rPr>
          <w:szCs w:val="24"/>
        </w:rPr>
      </w:pPr>
      <w:r>
        <w:rPr>
          <w:szCs w:val="24"/>
        </w:rPr>
        <w:t xml:space="preserve">Kentucky’s parental consortium claim is common law in origin. </w:t>
      </w:r>
      <w:r w:rsidR="00CA61EF">
        <w:rPr>
          <w:rFonts w:cs="Calibri"/>
        </w:rPr>
        <w:t xml:space="preserve">A brief history </w:t>
      </w:r>
      <w:r w:rsidR="002F2A07">
        <w:rPr>
          <w:rFonts w:cs="Calibri"/>
        </w:rPr>
        <w:t xml:space="preserve">on </w:t>
      </w:r>
      <w:r>
        <w:rPr>
          <w:rFonts w:cs="Calibri"/>
        </w:rPr>
        <w:t>this</w:t>
      </w:r>
      <w:r w:rsidR="002F2A07">
        <w:rPr>
          <w:rFonts w:cs="Calibri"/>
        </w:rPr>
        <w:t xml:space="preserve"> may be helpful to the Court</w:t>
      </w:r>
      <w:r w:rsidR="001E6C94">
        <w:rPr>
          <w:rFonts w:cs="Calibri"/>
        </w:rPr>
        <w:t>:</w:t>
      </w:r>
    </w:p>
    <w:p w14:paraId="165E751E" w14:textId="339BBC70" w:rsidR="00123081" w:rsidRPr="001E6C94" w:rsidRDefault="00123081" w:rsidP="001E6C94">
      <w:pPr>
        <w:tabs>
          <w:tab w:val="left" w:pos="-1440"/>
          <w:tab w:val="left" w:pos="-720"/>
          <w:tab w:val="righ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jc w:val="left"/>
        <w:rPr>
          <w:rFonts w:cs="Calibri"/>
        </w:rPr>
      </w:pPr>
      <w:r w:rsidRPr="001E6C94">
        <w:rPr>
          <w:rFonts w:cs="Calibri"/>
        </w:rPr>
        <w:t xml:space="preserve">In 1968, the General Assembly enacted 411.135, which allowed parents the right to recover for the loss of </w:t>
      </w:r>
      <w:r w:rsidR="001E6C94">
        <w:rPr>
          <w:rFonts w:cs="Calibri"/>
        </w:rPr>
        <w:t xml:space="preserve">the </w:t>
      </w:r>
      <w:r w:rsidRPr="001E6C94">
        <w:rPr>
          <w:rFonts w:cs="Calibri"/>
        </w:rPr>
        <w:t>love and affection of a minor child. In 1970, the General Assembly enacted KRS 411.145</w:t>
      </w:r>
      <w:r w:rsidR="001E6C94">
        <w:rPr>
          <w:rFonts w:cs="Calibri"/>
        </w:rPr>
        <w:t>, which allowed</w:t>
      </w:r>
      <w:r w:rsidRPr="001E6C94">
        <w:rPr>
          <w:rFonts w:cs="Calibri"/>
        </w:rPr>
        <w:t xml:space="preserve"> both husbands and wives</w:t>
      </w:r>
      <w:r w:rsidR="001E6C94">
        <w:rPr>
          <w:rFonts w:cs="Calibri"/>
        </w:rPr>
        <w:t xml:space="preserve"> the right to recover</w:t>
      </w:r>
      <w:r w:rsidRPr="001E6C94">
        <w:rPr>
          <w:rFonts w:cs="Calibri"/>
        </w:rPr>
        <w:t xml:space="preserve"> a loss of consortium claim. </w:t>
      </w:r>
      <w:r w:rsidRPr="001E6C94">
        <w:rPr>
          <w:rFonts w:cs="Calibri"/>
          <w:i/>
          <w:iCs/>
        </w:rPr>
        <w:t>Id</w:t>
      </w:r>
      <w:r w:rsidRPr="001E6C94">
        <w:rPr>
          <w:rFonts w:cs="Calibri"/>
        </w:rPr>
        <w:t xml:space="preserve">. at 107. </w:t>
      </w:r>
    </w:p>
    <w:p w14:paraId="35F08518" w14:textId="77777777" w:rsidR="006B2C65" w:rsidRDefault="00123081" w:rsidP="001E6C94">
      <w:pPr>
        <w:tabs>
          <w:tab w:val="left" w:pos="-1440"/>
          <w:tab w:val="left" w:pos="-720"/>
          <w:tab w:val="righ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jc w:val="left"/>
        <w:rPr>
          <w:rFonts w:cs="Calibri"/>
        </w:rPr>
      </w:pPr>
      <w:r w:rsidRPr="001E6C94">
        <w:rPr>
          <w:rFonts w:cs="Calibri"/>
        </w:rPr>
        <w:t xml:space="preserve">In 1997, the </w:t>
      </w:r>
      <w:r w:rsidR="001E6C94" w:rsidRPr="001E6C94">
        <w:rPr>
          <w:rFonts w:cs="Calibri"/>
        </w:rPr>
        <w:t xml:space="preserve">Kentucky </w:t>
      </w:r>
      <w:r w:rsidRPr="001E6C94">
        <w:rPr>
          <w:rFonts w:cs="Calibri"/>
        </w:rPr>
        <w:t xml:space="preserve">Supreme Court held in </w:t>
      </w:r>
      <w:r w:rsidRPr="001E6C94">
        <w:rPr>
          <w:rFonts w:cs="Calibri"/>
          <w:i/>
          <w:iCs/>
        </w:rPr>
        <w:t>Giuliani v. Guiler</w:t>
      </w:r>
      <w:r w:rsidRPr="001E6C94">
        <w:rPr>
          <w:rFonts w:cs="Calibri"/>
        </w:rPr>
        <w:t>, 951 S.W.2d 318 (Ky. 1997) that if the law recognized a parent’s right to claim the loss of a child pursuant to KRS 411.135, then it likewise should recognize a child’s right to a claim for the loss of love and affection of a parent</w:t>
      </w:r>
      <w:r w:rsidR="001E6C94">
        <w:rPr>
          <w:rFonts w:cs="Calibri"/>
        </w:rPr>
        <w:t>. So, the Court in</w:t>
      </w:r>
      <w:r w:rsidRPr="001E6C94">
        <w:rPr>
          <w:rFonts w:cs="Calibri"/>
        </w:rPr>
        <w:t xml:space="preserve"> </w:t>
      </w:r>
      <w:r w:rsidRPr="001E6C94">
        <w:rPr>
          <w:rFonts w:cs="Calibri"/>
          <w:i/>
          <w:iCs/>
        </w:rPr>
        <w:t xml:space="preserve">Giuliani </w:t>
      </w:r>
      <w:r w:rsidRPr="001E6C94">
        <w:rPr>
          <w:rFonts w:cs="Calibri"/>
        </w:rPr>
        <w:t xml:space="preserve">so held. </w:t>
      </w:r>
      <w:r w:rsidRPr="001E6C94">
        <w:rPr>
          <w:rFonts w:cs="Calibri"/>
          <w:i/>
          <w:iCs/>
        </w:rPr>
        <w:t>Giuliani</w:t>
      </w:r>
      <w:r w:rsidRPr="001E6C94">
        <w:rPr>
          <w:rFonts w:cs="Calibri"/>
        </w:rPr>
        <w:t xml:space="preserve">, 951 S.W.2d at 321; </w:t>
      </w:r>
      <w:r w:rsidRPr="001E6C94">
        <w:rPr>
          <w:rFonts w:cs="Calibri"/>
          <w:i/>
          <w:iCs/>
        </w:rPr>
        <w:t>Martin</w:t>
      </w:r>
      <w:r w:rsidRPr="001E6C94">
        <w:rPr>
          <w:rFonts w:cs="Calibri"/>
        </w:rPr>
        <w:t xml:space="preserve">, 295 S.W.3d at 108. </w:t>
      </w:r>
    </w:p>
    <w:p w14:paraId="7A606E92" w14:textId="4C328AEE" w:rsidR="006B2C65" w:rsidRDefault="006B2C65" w:rsidP="001E6C94">
      <w:pPr>
        <w:tabs>
          <w:tab w:val="left" w:pos="-1440"/>
          <w:tab w:val="left" w:pos="-720"/>
          <w:tab w:val="righ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jc w:val="left"/>
        <w:rPr>
          <w:rFonts w:cs="Calibri"/>
        </w:rPr>
      </w:pPr>
      <w:r>
        <w:rPr>
          <w:rFonts w:cs="Calibri"/>
        </w:rPr>
        <w:t xml:space="preserve">The Kentucky Supreme Court has </w:t>
      </w:r>
      <w:r w:rsidRPr="000C75A0">
        <w:rPr>
          <w:rFonts w:cs="Calibri"/>
          <w:b/>
          <w:bCs/>
        </w:rPr>
        <w:t>never</w:t>
      </w:r>
      <w:r>
        <w:rPr>
          <w:rFonts w:cs="Calibri"/>
        </w:rPr>
        <w:t xml:space="preserve"> </w:t>
      </w:r>
      <w:r w:rsidR="000C75A0">
        <w:rPr>
          <w:rFonts w:cs="Calibri"/>
        </w:rPr>
        <w:t>addressed</w:t>
      </w:r>
      <w:r>
        <w:rPr>
          <w:rFonts w:cs="Calibri"/>
        </w:rPr>
        <w:t xml:space="preserve"> </w:t>
      </w:r>
      <w:r w:rsidR="000C75A0">
        <w:rPr>
          <w:rFonts w:cs="Calibri"/>
        </w:rPr>
        <w:t xml:space="preserve">a child’s loss of consortium since </w:t>
      </w:r>
      <w:r w:rsidR="000C75A0">
        <w:rPr>
          <w:rFonts w:cs="Calibri"/>
          <w:i/>
          <w:iCs/>
        </w:rPr>
        <w:t>Guiliani</w:t>
      </w:r>
      <w:r>
        <w:rPr>
          <w:rFonts w:cs="Calibri"/>
        </w:rPr>
        <w:t>. As Defendant cites, in 2000 and 2015, t</w:t>
      </w:r>
      <w:r w:rsidR="00123081" w:rsidRPr="001E6C94">
        <w:rPr>
          <w:rFonts w:cs="Calibri"/>
        </w:rPr>
        <w:t xml:space="preserve">he </w:t>
      </w:r>
      <w:r w:rsidR="00123081" w:rsidRPr="00D72367">
        <w:rPr>
          <w:rFonts w:cs="Calibri"/>
          <w:i/>
          <w:iCs/>
        </w:rPr>
        <w:t>Court of Appeals</w:t>
      </w:r>
      <w:r w:rsidR="00123081" w:rsidRPr="001E6C94">
        <w:rPr>
          <w:rFonts w:cs="Calibri"/>
        </w:rPr>
        <w:t xml:space="preserve"> held that only a minor child possessed a claim for the loss of parent. </w:t>
      </w:r>
      <w:r w:rsidR="00123081" w:rsidRPr="001E6C94">
        <w:rPr>
          <w:rFonts w:cs="Calibri"/>
          <w:i/>
          <w:iCs/>
        </w:rPr>
        <w:t xml:space="preserve">Smith v. </w:t>
      </w:r>
      <w:proofErr w:type="spellStart"/>
      <w:r w:rsidR="00123081" w:rsidRPr="001E6C94">
        <w:rPr>
          <w:rFonts w:cs="Calibri"/>
          <w:i/>
          <w:iCs/>
        </w:rPr>
        <w:t>Vilvarajah</w:t>
      </w:r>
      <w:proofErr w:type="spellEnd"/>
      <w:r w:rsidR="00123081" w:rsidRPr="001E6C94">
        <w:rPr>
          <w:rFonts w:cs="Calibri"/>
        </w:rPr>
        <w:t xml:space="preserve">, 57 S.W.3d 839 (Ky. App. 2000); </w:t>
      </w:r>
      <w:r w:rsidR="00123081" w:rsidRPr="001E6C94">
        <w:rPr>
          <w:rFonts w:cs="Calibri"/>
          <w:i/>
          <w:iCs/>
        </w:rPr>
        <w:t>Clements v. Moore</w:t>
      </w:r>
      <w:r w:rsidR="00123081" w:rsidRPr="001E6C94">
        <w:rPr>
          <w:rFonts w:cs="Calibri"/>
        </w:rPr>
        <w:t>, 55 S.W.3d 838 (Ky. App. 2000)</w:t>
      </w:r>
      <w:r>
        <w:rPr>
          <w:rFonts w:cs="Calibri"/>
        </w:rPr>
        <w:t xml:space="preserve">; </w:t>
      </w:r>
      <w:r>
        <w:rPr>
          <w:rFonts w:cs="Calibri"/>
          <w:i/>
          <w:iCs/>
        </w:rPr>
        <w:t>Pauly v. Chang</w:t>
      </w:r>
      <w:r>
        <w:rPr>
          <w:rFonts w:cs="Calibri"/>
        </w:rPr>
        <w:t>, 498 S.W.3d 394 (Ky. App. 2015)</w:t>
      </w:r>
      <w:r w:rsidR="00123081" w:rsidRPr="001E6C94">
        <w:rPr>
          <w:rFonts w:cs="Calibri"/>
        </w:rPr>
        <w:t xml:space="preserve">. </w:t>
      </w:r>
      <w:r w:rsidR="00D72367">
        <w:rPr>
          <w:rFonts w:cs="Calibri"/>
        </w:rPr>
        <w:t xml:space="preserve">These three </w:t>
      </w:r>
      <w:r w:rsidR="00D72367">
        <w:rPr>
          <w:rFonts w:cs="Calibri"/>
        </w:rPr>
        <w:lastRenderedPageBreak/>
        <w:t xml:space="preserve">Court of Appeals cases were premised on a misreading of </w:t>
      </w:r>
      <w:r w:rsidR="00D72367">
        <w:rPr>
          <w:rFonts w:cs="Calibri"/>
          <w:i/>
          <w:iCs/>
        </w:rPr>
        <w:t xml:space="preserve">Guiliani </w:t>
      </w:r>
      <w:r w:rsidR="00D72367">
        <w:rPr>
          <w:rFonts w:cs="Calibri"/>
        </w:rPr>
        <w:t xml:space="preserve">that </w:t>
      </w:r>
      <w:r w:rsidR="00D72367">
        <w:rPr>
          <w:rFonts w:cs="Calibri"/>
          <w:i/>
          <w:iCs/>
        </w:rPr>
        <w:t xml:space="preserve">Martin </w:t>
      </w:r>
      <w:r w:rsidR="00D72367">
        <w:rPr>
          <w:rFonts w:cs="Calibri"/>
        </w:rPr>
        <w:t xml:space="preserve">has corrected. </w:t>
      </w:r>
    </w:p>
    <w:p w14:paraId="71986ED1" w14:textId="015C2CF6" w:rsidR="006B2C65" w:rsidRDefault="006B2C65" w:rsidP="001E6C94">
      <w:pPr>
        <w:tabs>
          <w:tab w:val="left" w:pos="-1440"/>
          <w:tab w:val="left" w:pos="-720"/>
          <w:tab w:val="righ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jc w:val="left"/>
        <w:rPr>
          <w:rFonts w:cs="Calibri"/>
        </w:rPr>
      </w:pPr>
      <w:r>
        <w:rPr>
          <w:rFonts w:cs="Calibri"/>
        </w:rPr>
        <w:t xml:space="preserve">The dissent in </w:t>
      </w:r>
      <w:r w:rsidR="00123081" w:rsidRPr="001E6C94">
        <w:rPr>
          <w:rFonts w:cs="Calibri"/>
          <w:i/>
          <w:iCs/>
        </w:rPr>
        <w:t xml:space="preserve">Smith v. </w:t>
      </w:r>
      <w:proofErr w:type="spellStart"/>
      <w:r w:rsidR="00123081" w:rsidRPr="006B2C65">
        <w:rPr>
          <w:rFonts w:cs="Calibri"/>
          <w:i/>
          <w:iCs/>
        </w:rPr>
        <w:t>Vilvarajah</w:t>
      </w:r>
      <w:proofErr w:type="spellEnd"/>
      <w:r>
        <w:rPr>
          <w:rFonts w:cs="Calibri"/>
        </w:rPr>
        <w:t>, however, is very telling. Judge Sara Combs</w:t>
      </w:r>
      <w:r w:rsidR="00123081" w:rsidRPr="001E6C94">
        <w:rPr>
          <w:rFonts w:cs="Calibri"/>
        </w:rPr>
        <w:t xml:space="preserve"> wrote that the common law </w:t>
      </w:r>
      <w:r w:rsidR="00123081" w:rsidRPr="000C75A0">
        <w:rPr>
          <w:rFonts w:cs="Calibri"/>
          <w:b/>
          <w:bCs/>
        </w:rPr>
        <w:t>never</w:t>
      </w:r>
      <w:r w:rsidR="00123081" w:rsidRPr="001E6C94">
        <w:rPr>
          <w:rFonts w:cs="Calibri"/>
        </w:rPr>
        <w:t xml:space="preserve"> has acknowledged that the loss of love and affection of a parent changes the moment a child reaches 18. </w:t>
      </w:r>
      <w:r w:rsidR="00123081" w:rsidRPr="001E6C94">
        <w:rPr>
          <w:rFonts w:cs="Calibri"/>
          <w:i/>
          <w:iCs/>
        </w:rPr>
        <w:t>Smith</w:t>
      </w:r>
      <w:r w:rsidR="00123081" w:rsidRPr="001E6C94">
        <w:rPr>
          <w:rFonts w:cs="Calibri"/>
        </w:rPr>
        <w:t xml:space="preserve">, 57 </w:t>
      </w:r>
      <w:r>
        <w:rPr>
          <w:rFonts w:cs="Calibri"/>
        </w:rPr>
        <w:t>S</w:t>
      </w:r>
      <w:r w:rsidR="00123081" w:rsidRPr="001E6C94">
        <w:rPr>
          <w:rFonts w:cs="Calibri"/>
        </w:rPr>
        <w:t xml:space="preserve">.W.3d at 844. She noted that common sense would suggest that </w:t>
      </w:r>
      <w:r w:rsidR="00123081" w:rsidRPr="000C75A0">
        <w:rPr>
          <w:rFonts w:cs="Calibri"/>
        </w:rPr>
        <w:t xml:space="preserve">the bonds of love and affection between parent and child only </w:t>
      </w:r>
      <w:r w:rsidR="00123081" w:rsidRPr="000C75A0">
        <w:rPr>
          <w:rFonts w:cs="Calibri"/>
          <w:b/>
          <w:bCs/>
          <w:u w:val="single"/>
        </w:rPr>
        <w:t>grow</w:t>
      </w:r>
      <w:r w:rsidR="00123081" w:rsidRPr="000C75A0">
        <w:rPr>
          <w:rFonts w:cs="Calibri"/>
        </w:rPr>
        <w:t xml:space="preserve"> with the passage of time, making the loss even more painful</w:t>
      </w:r>
      <w:r w:rsidR="000C75A0">
        <w:rPr>
          <w:rFonts w:cs="Calibri"/>
        </w:rPr>
        <w:t>.</w:t>
      </w:r>
      <w:r w:rsidR="00123081" w:rsidRPr="001E6C94">
        <w:rPr>
          <w:rFonts w:cs="Calibri"/>
        </w:rPr>
        <w:t xml:space="preserve"> </w:t>
      </w:r>
      <w:r>
        <w:rPr>
          <w:rFonts w:cs="Calibri"/>
          <w:i/>
          <w:iCs/>
        </w:rPr>
        <w:t>Id</w:t>
      </w:r>
      <w:r>
        <w:rPr>
          <w:rFonts w:cs="Calibri"/>
        </w:rPr>
        <w:t>. (emphasis added).</w:t>
      </w:r>
    </w:p>
    <w:p w14:paraId="335D4431" w14:textId="096C61A2" w:rsidR="00123081" w:rsidRPr="00C402D7" w:rsidRDefault="006B2C65" w:rsidP="001E6C94">
      <w:pPr>
        <w:tabs>
          <w:tab w:val="left" w:pos="-1440"/>
          <w:tab w:val="left" w:pos="-720"/>
          <w:tab w:val="righ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jc w:val="left"/>
        <w:rPr>
          <w:rFonts w:cs="Calibri"/>
        </w:rPr>
      </w:pPr>
      <w:r>
        <w:rPr>
          <w:rFonts w:cs="Calibri"/>
        </w:rPr>
        <w:t>Judge Combs’ dissent hits the nail on the head. Here, the bond between Timmi and her 4 kids only grew with time</w:t>
      </w:r>
      <w:r w:rsidR="00E5380B">
        <w:rPr>
          <w:rFonts w:cs="Calibri"/>
        </w:rPr>
        <w:t>, and the loss of their mom is even more painful.</w:t>
      </w:r>
      <w:r>
        <w:rPr>
          <w:rFonts w:cs="Calibri"/>
          <w:i/>
          <w:iCs/>
        </w:rPr>
        <w:t xml:space="preserve"> </w:t>
      </w:r>
      <w:r w:rsidR="00C402D7">
        <w:rPr>
          <w:rFonts w:cs="Calibri"/>
        </w:rPr>
        <w:t>That loss does not end when a child turns 18.</w:t>
      </w:r>
    </w:p>
    <w:p w14:paraId="31E3B2AC" w14:textId="5A0C4394" w:rsidR="001C07B2" w:rsidRDefault="001C07B2" w:rsidP="001C07B2">
      <w:pPr>
        <w:tabs>
          <w:tab w:val="left" w:pos="-1440"/>
          <w:tab w:val="left" w:pos="-720"/>
          <w:tab w:val="righ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jc w:val="left"/>
      </w:pPr>
      <w:r>
        <w:rPr>
          <w:noProof/>
        </w:rPr>
        <w:drawing>
          <wp:anchor distT="0" distB="0" distL="114300" distR="114300" simplePos="0" relativeHeight="251658240" behindDoc="1" locked="0" layoutInCell="1" allowOverlap="1" wp14:anchorId="3D149DA5" wp14:editId="24B6F86F">
            <wp:simplePos x="0" y="0"/>
            <wp:positionH relativeFrom="column">
              <wp:posOffset>0</wp:posOffset>
            </wp:positionH>
            <wp:positionV relativeFrom="paragraph">
              <wp:posOffset>-1905</wp:posOffset>
            </wp:positionV>
            <wp:extent cx="1825111" cy="2428760"/>
            <wp:effectExtent l="0" t="0" r="3810" b="0"/>
            <wp:wrapTight wrapText="bothSides">
              <wp:wrapPolygon edited="0">
                <wp:start x="0" y="0"/>
                <wp:lineTo x="0" y="21351"/>
                <wp:lineTo x="21420" y="21351"/>
                <wp:lineTo x="21420" y="0"/>
                <wp:lineTo x="0" y="0"/>
              </wp:wrapPolygon>
            </wp:wrapTight>
            <wp:docPr id="1328456130" name="Picture 15" descr="IMG_27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56130" name="Picture 15" descr="IMG_2790.jpg"/>
                    <pic:cNvPicPr>
                      <a:picLocks noChangeAspect="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1825111" cy="2428760"/>
                    </a:xfrm>
                    <a:prstGeom prst="rect">
                      <a:avLst/>
                    </a:prstGeom>
                    <a:noFill/>
                    <a:ln>
                      <a:noFill/>
                    </a:ln>
                  </pic:spPr>
                </pic:pic>
              </a:graphicData>
            </a:graphic>
          </wp:anchor>
        </w:drawing>
      </w:r>
      <w:r>
        <w:t>A</w:t>
      </w:r>
      <w:r w:rsidR="000C75A0">
        <w:t>s illustration, a</w:t>
      </w:r>
      <w:r>
        <w:t xml:space="preserve">fter losing her mom, Monica </w:t>
      </w:r>
      <w:r w:rsidR="00C402D7">
        <w:t>wrote down</w:t>
      </w:r>
      <w:r>
        <w:t xml:space="preserve"> some of the ways losing her mom has affected her:</w:t>
      </w:r>
    </w:p>
    <w:p w14:paraId="074A3460" w14:textId="6C50A8C9" w:rsidR="001C07B2" w:rsidRDefault="00C402D7" w:rsidP="001C07B2">
      <w:pPr>
        <w:pStyle w:val="BrfBdy"/>
        <w:ind w:firstLine="0"/>
        <w:rPr>
          <w:szCs w:val="24"/>
        </w:rPr>
      </w:pPr>
      <w:r w:rsidRPr="001C07B2">
        <w:rPr>
          <w:noProof/>
          <w:szCs w:val="24"/>
        </w:rPr>
        <mc:AlternateContent>
          <mc:Choice Requires="wps">
            <w:drawing>
              <wp:anchor distT="45720" distB="45720" distL="114300" distR="114300" simplePos="0" relativeHeight="251660288" behindDoc="0" locked="0" layoutInCell="1" allowOverlap="1" wp14:anchorId="5C075734" wp14:editId="296E29FB">
                <wp:simplePos x="0" y="0"/>
                <wp:positionH relativeFrom="margin">
                  <wp:align>left</wp:align>
                </wp:positionH>
                <wp:positionV relativeFrom="paragraph">
                  <wp:posOffset>1673225</wp:posOffset>
                </wp:positionV>
                <wp:extent cx="1813560" cy="495300"/>
                <wp:effectExtent l="0" t="0" r="1524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3560" cy="495300"/>
                        </a:xfrm>
                        <a:prstGeom prst="rect">
                          <a:avLst/>
                        </a:prstGeom>
                        <a:solidFill>
                          <a:srgbClr val="FFFFFF"/>
                        </a:solidFill>
                        <a:ln w="9525">
                          <a:solidFill>
                            <a:srgbClr val="000000"/>
                          </a:solidFill>
                          <a:miter lim="800000"/>
                          <a:headEnd/>
                          <a:tailEnd/>
                        </a:ln>
                      </wps:spPr>
                      <wps:txbx>
                        <w:txbxContent>
                          <w:p w14:paraId="2BEB5156" w14:textId="337708A7" w:rsidR="001C07B2" w:rsidRPr="00C402D7" w:rsidRDefault="001C07B2" w:rsidP="00C402D7">
                            <w:pPr>
                              <w:spacing w:line="240" w:lineRule="auto"/>
                              <w:ind w:firstLine="0"/>
                              <w:rPr>
                                <w:i/>
                                <w:iCs/>
                              </w:rPr>
                            </w:pPr>
                            <w:r w:rsidRPr="00C402D7">
                              <w:rPr>
                                <w:i/>
                                <w:iCs/>
                                <w:sz w:val="16"/>
                                <w:szCs w:val="16"/>
                              </w:rPr>
                              <w:t>Timmi with her husband, Charles, and their</w:t>
                            </w:r>
                            <w:r w:rsidRPr="00C402D7">
                              <w:rPr>
                                <w:i/>
                                <w:iCs/>
                              </w:rPr>
                              <w:t xml:space="preserve"> </w:t>
                            </w:r>
                            <w:r w:rsidRPr="00C402D7">
                              <w:rPr>
                                <w:i/>
                                <w:iCs/>
                                <w:sz w:val="16"/>
                                <w:szCs w:val="16"/>
                              </w:rPr>
                              <w:t>four kids – Monica, Denise, Cheri, and Brian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075734" id="_x0000_t202" coordsize="21600,21600" o:spt="202" path="m,l,21600r21600,l21600,xe">
                <v:stroke joinstyle="miter"/>
                <v:path gradientshapeok="t" o:connecttype="rect"/>
              </v:shapetype>
              <v:shape id="Text Box 2" o:spid="_x0000_s1026" type="#_x0000_t202" style="position:absolute;margin-left:0;margin-top:131.75pt;width:142.8pt;height:39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">
                <v:textbox>
                  <w:txbxContent>
                    <w:p w14:paraId="2BEB5156" w14:textId="337708A7" w:rsidR="001C07B2" w:rsidRPr="00C402D7" w:rsidRDefault="001C07B2" w:rsidP="00C402D7">
                      <w:pPr>
                        <w:spacing w:line="240" w:lineRule="auto"/>
                        <w:ind w:firstLine="0"/>
                        <w:rPr>
                          <w:i/>
                          <w:iCs/>
                        </w:rPr>
                      </w:pPr>
                      <w:r w:rsidRPr="00C402D7">
                        <w:rPr>
                          <w:i/>
                          <w:iCs/>
                          <w:sz w:val="16"/>
                          <w:szCs w:val="16"/>
                        </w:rPr>
                        <w:t>Timmi with her husband, Charles, and their</w:t>
                      </w:r>
                      <w:r w:rsidRPr="00C402D7">
                        <w:rPr>
                          <w:i/>
                          <w:iCs/>
                        </w:rPr>
                        <w:t xml:space="preserve"> </w:t>
                      </w:r>
                      <w:r w:rsidRPr="00C402D7">
                        <w:rPr>
                          <w:i/>
                          <w:iCs/>
                          <w:sz w:val="16"/>
                          <w:szCs w:val="16"/>
                        </w:rPr>
                        <w:t>four kids – Monica, Denise, Cheri, and Brian</w:t>
                      </w:r>
                    </w:p>
                  </w:txbxContent>
                </v:textbox>
                <w10:wrap type="square" anchorx="margin"/>
              </v:shape>
            </w:pict>
          </mc:Fallback>
        </mc:AlternateContent>
      </w:r>
      <w:r w:rsidR="001C07B2" w:rsidRPr="000647BA">
        <w:rPr>
          <w:noProof/>
          <w:szCs w:val="24"/>
        </w:rPr>
        <w:drawing>
          <wp:inline distT="0" distB="0" distL="0" distR="0" wp14:anchorId="66172441" wp14:editId="3DDF7562">
            <wp:extent cx="3779520" cy="2849428"/>
            <wp:effectExtent l="0" t="0" r="0" b="8255"/>
            <wp:docPr id="1605654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89414" cy="2856887"/>
                    </a:xfrm>
                    <a:prstGeom prst="rect">
                      <a:avLst/>
                    </a:prstGeom>
                    <a:noFill/>
                    <a:ln>
                      <a:noFill/>
                    </a:ln>
                  </pic:spPr>
                </pic:pic>
              </a:graphicData>
            </a:graphic>
          </wp:inline>
        </w:drawing>
      </w:r>
    </w:p>
    <w:p w14:paraId="44C7E9B7" w14:textId="327DB6C3" w:rsidR="001C07B2" w:rsidRDefault="000C75A0" w:rsidP="001C07B2">
      <w:pPr>
        <w:pStyle w:val="BrfBdy"/>
        <w:ind w:firstLine="0"/>
        <w:rPr>
          <w:szCs w:val="24"/>
        </w:rPr>
      </w:pPr>
      <w:r>
        <w:rPr>
          <w:szCs w:val="24"/>
        </w:rPr>
        <w:lastRenderedPageBreak/>
        <w:t>This was made an e</w:t>
      </w:r>
      <w:r w:rsidR="001C07B2">
        <w:rPr>
          <w:szCs w:val="24"/>
        </w:rPr>
        <w:t>xhibit</w:t>
      </w:r>
      <w:r>
        <w:rPr>
          <w:szCs w:val="24"/>
        </w:rPr>
        <w:t xml:space="preserve"> </w:t>
      </w:r>
      <w:r w:rsidR="001C07B2">
        <w:rPr>
          <w:szCs w:val="24"/>
        </w:rPr>
        <w:t xml:space="preserve">to </w:t>
      </w:r>
      <w:r>
        <w:rPr>
          <w:szCs w:val="24"/>
        </w:rPr>
        <w:t xml:space="preserve">Monica Russell’s 9/11/2025 </w:t>
      </w:r>
      <w:r w:rsidR="001C07B2">
        <w:rPr>
          <w:szCs w:val="24"/>
        </w:rPr>
        <w:t>deposition.</w:t>
      </w:r>
    </w:p>
    <w:p w14:paraId="445DFD14" w14:textId="7822F67C" w:rsidR="001C07B2" w:rsidRDefault="000C75A0" w:rsidP="001C07B2">
      <w:pPr>
        <w:pStyle w:val="BrfBdy"/>
        <w:rPr>
          <w:szCs w:val="24"/>
        </w:rPr>
      </w:pPr>
      <w:r>
        <w:rPr>
          <w:szCs w:val="24"/>
        </w:rPr>
        <w:t xml:space="preserve">Likewise, </w:t>
      </w:r>
      <w:r w:rsidR="001C07B2">
        <w:rPr>
          <w:szCs w:val="24"/>
        </w:rPr>
        <w:t>Denise</w:t>
      </w:r>
      <w:r>
        <w:rPr>
          <w:szCs w:val="24"/>
        </w:rPr>
        <w:t xml:space="preserve"> wrote about her loss from losing her mom. She noted that</w:t>
      </w:r>
      <w:r w:rsidR="001C07B2">
        <w:rPr>
          <w:szCs w:val="24"/>
        </w:rPr>
        <w:t xml:space="preserve"> the void in her life from losing her mom is indescribable. </w:t>
      </w:r>
      <w:r>
        <w:rPr>
          <w:szCs w:val="24"/>
        </w:rPr>
        <w:t xml:space="preserve">Her loss of </w:t>
      </w:r>
      <w:proofErr w:type="gramStart"/>
      <w:r>
        <w:rPr>
          <w:szCs w:val="24"/>
        </w:rPr>
        <w:t>the love</w:t>
      </w:r>
      <w:proofErr w:type="gramEnd"/>
      <w:r>
        <w:rPr>
          <w:szCs w:val="24"/>
        </w:rPr>
        <w:t xml:space="preserve"> and affection of her mom includes being able to talk with her mom on the phone almost every day or knowing that her mom was there for her in even the darkest times, like when she needed </w:t>
      </w:r>
      <w:r w:rsidR="00C402D7">
        <w:rPr>
          <w:szCs w:val="24"/>
        </w:rPr>
        <w:t>rescuing from Fresno, Arizona</w:t>
      </w:r>
      <w:r w:rsidR="000E5DCB">
        <w:rPr>
          <w:szCs w:val="24"/>
        </w:rPr>
        <w:t xml:space="preserve"> after </w:t>
      </w:r>
      <w:r w:rsidR="00C402D7">
        <w:rPr>
          <w:szCs w:val="24"/>
        </w:rPr>
        <w:t>Denise’s marriage failed</w:t>
      </w:r>
      <w:r w:rsidR="001C07B2">
        <w:rPr>
          <w:szCs w:val="24"/>
        </w:rPr>
        <w:t>:</w:t>
      </w:r>
    </w:p>
    <w:p w14:paraId="64C2BBCF" w14:textId="77777777" w:rsidR="001C07B2" w:rsidRDefault="001C07B2" w:rsidP="001C07B2">
      <w:pPr>
        <w:pStyle w:val="BrfBdy"/>
        <w:ind w:firstLine="0"/>
        <w:jc w:val="center"/>
      </w:pPr>
      <w:r w:rsidRPr="000647BA">
        <w:rPr>
          <w:noProof/>
        </w:rPr>
        <w:lastRenderedPageBreak/>
        <w:drawing>
          <wp:inline distT="0" distB="0" distL="0" distR="0" wp14:anchorId="6B86F8BE" wp14:editId="340187DC">
            <wp:extent cx="5943600" cy="7861935"/>
            <wp:effectExtent l="0" t="0" r="0" b="5715"/>
            <wp:docPr id="13754108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861935"/>
                    </a:xfrm>
                    <a:prstGeom prst="rect">
                      <a:avLst/>
                    </a:prstGeom>
                    <a:noFill/>
                    <a:ln>
                      <a:noFill/>
                    </a:ln>
                  </pic:spPr>
                </pic:pic>
              </a:graphicData>
            </a:graphic>
          </wp:inline>
        </w:drawing>
      </w:r>
    </w:p>
    <w:p w14:paraId="1DABE259" w14:textId="4FEA349D" w:rsidR="001C07B2" w:rsidRPr="00BB1A03" w:rsidRDefault="000E5DCB" w:rsidP="001C07B2">
      <w:pPr>
        <w:pStyle w:val="BrfBdy"/>
        <w:ind w:firstLine="0"/>
      </w:pPr>
      <w:r>
        <w:lastRenderedPageBreak/>
        <w:t xml:space="preserve">This was </w:t>
      </w:r>
      <w:proofErr w:type="gramStart"/>
      <w:r>
        <w:t>made</w:t>
      </w:r>
      <w:proofErr w:type="gramEnd"/>
      <w:r>
        <w:t xml:space="preserve"> an e</w:t>
      </w:r>
      <w:r w:rsidR="001C07B2">
        <w:t>xhibit</w:t>
      </w:r>
      <w:r>
        <w:t xml:space="preserve"> </w:t>
      </w:r>
      <w:proofErr w:type="gramStart"/>
      <w:r w:rsidR="001C07B2">
        <w:t>to</w:t>
      </w:r>
      <w:proofErr w:type="gramEnd"/>
      <w:r>
        <w:t xml:space="preserve"> Denise Houck’s</w:t>
      </w:r>
      <w:r w:rsidR="001C07B2">
        <w:t xml:space="preserve"> deposition.</w:t>
      </w:r>
    </w:p>
    <w:p w14:paraId="64F91785" w14:textId="1940B4BB" w:rsidR="00123081" w:rsidRPr="001E6C94" w:rsidRDefault="006C673A" w:rsidP="006C673A">
      <w:pPr>
        <w:tabs>
          <w:tab w:val="left" w:pos="-1440"/>
          <w:tab w:val="left" w:pos="-720"/>
          <w:tab w:val="righ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ind w:firstLine="0"/>
        <w:jc w:val="left"/>
        <w:rPr>
          <w:rFonts w:cs="Calibri"/>
          <w:i/>
          <w:iCs/>
        </w:rPr>
      </w:pPr>
      <w:r>
        <w:rPr>
          <w:rFonts w:cs="Calibri"/>
        </w:rPr>
        <w:tab/>
        <w:t xml:space="preserve">This Court has the power to recognize the loss of love and affection of a child beyond the age of 18. </w:t>
      </w:r>
      <w:r w:rsidR="00123081" w:rsidRPr="001E6C94">
        <w:rPr>
          <w:rFonts w:cs="Calibri"/>
          <w:i/>
          <w:iCs/>
        </w:rPr>
        <w:t>Giuliani</w:t>
      </w:r>
      <w:r w:rsidR="00123081" w:rsidRPr="001E6C94">
        <w:rPr>
          <w:rFonts w:cs="Calibri"/>
        </w:rPr>
        <w:t xml:space="preserve"> recognized that </w:t>
      </w:r>
      <w:r>
        <w:rPr>
          <w:rFonts w:cs="Calibri"/>
        </w:rPr>
        <w:t xml:space="preserve">consortium </w:t>
      </w:r>
      <w:r w:rsidR="00123081" w:rsidRPr="001E6C94">
        <w:rPr>
          <w:rFonts w:cs="Calibri"/>
        </w:rPr>
        <w:t xml:space="preserve">claims are “judge-made common law doctrine that the Court has the power and duty to modify and conform to the changing conditions of our society.” </w:t>
      </w:r>
      <w:r w:rsidR="00123081" w:rsidRPr="001E6C94">
        <w:rPr>
          <w:rFonts w:cs="Calibri"/>
          <w:i/>
          <w:iCs/>
        </w:rPr>
        <w:t>Giuliani</w:t>
      </w:r>
      <w:r w:rsidR="00123081" w:rsidRPr="001E6C94">
        <w:rPr>
          <w:rFonts w:cs="Calibri"/>
        </w:rPr>
        <w:t xml:space="preserve"> 951 S.W.2d at 319. The </w:t>
      </w:r>
      <w:r>
        <w:rPr>
          <w:rFonts w:cs="Calibri"/>
        </w:rPr>
        <w:t xml:space="preserve">Kentucky </w:t>
      </w:r>
      <w:r w:rsidR="00123081" w:rsidRPr="001E6C94">
        <w:rPr>
          <w:rFonts w:cs="Calibri"/>
        </w:rPr>
        <w:t xml:space="preserve">Supreme Court exercised this judicial </w:t>
      </w:r>
      <w:r>
        <w:rPr>
          <w:rFonts w:cs="Calibri"/>
        </w:rPr>
        <w:t>power and duty</w:t>
      </w:r>
      <w:r w:rsidR="00123081" w:rsidRPr="001E6C94">
        <w:rPr>
          <w:rFonts w:cs="Calibri"/>
        </w:rPr>
        <w:t xml:space="preserve"> in </w:t>
      </w:r>
      <w:r w:rsidR="00123081" w:rsidRPr="001E6C94">
        <w:rPr>
          <w:rFonts w:cs="Calibri"/>
          <w:i/>
          <w:iCs/>
        </w:rPr>
        <w:t>Martin v. Ohio County Hosp.</w:t>
      </w:r>
      <w:r w:rsidR="00123081" w:rsidRPr="001E6C94">
        <w:rPr>
          <w:rFonts w:cs="Calibri"/>
        </w:rPr>
        <w:t xml:space="preserve">, and it is the Court’s language in that case that allows Monica, Denise, Brian, and Cheri to pursue the claim for the loss of their mom, Timmi.  </w:t>
      </w:r>
    </w:p>
    <w:p w14:paraId="43082ACC" w14:textId="112F8076" w:rsidR="00123081" w:rsidRPr="001E6C94" w:rsidRDefault="00123081" w:rsidP="001E6C94">
      <w:pPr>
        <w:tabs>
          <w:tab w:val="left" w:pos="-1440"/>
          <w:tab w:val="left" w:pos="-720"/>
          <w:tab w:val="righ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jc w:val="left"/>
        <w:rPr>
          <w:rFonts w:cs="Calibri"/>
        </w:rPr>
      </w:pPr>
      <w:r w:rsidRPr="001E6C94">
        <w:rPr>
          <w:rFonts w:cs="Calibri"/>
          <w:i/>
          <w:iCs/>
        </w:rPr>
        <w:t>Martin</w:t>
      </w:r>
      <w:r w:rsidRPr="001E6C94">
        <w:rPr>
          <w:rFonts w:cs="Calibri"/>
        </w:rPr>
        <w:t xml:space="preserve"> analyzed the spousal loss of consortium statute, KRS 411.145, and noted that it was silent as to whether the claim extended beyond death. </w:t>
      </w:r>
      <w:r w:rsidRPr="001E6C94">
        <w:rPr>
          <w:rFonts w:cs="Calibri"/>
          <w:i/>
          <w:iCs/>
        </w:rPr>
        <w:t>Martin</w:t>
      </w:r>
      <w:r w:rsidRPr="001E6C94">
        <w:rPr>
          <w:rFonts w:cs="Calibri"/>
        </w:rPr>
        <w:t xml:space="preserve">, 295 S.W.3d at 8-9. </w:t>
      </w:r>
      <w:r w:rsidRPr="001E6C94">
        <w:rPr>
          <w:rFonts w:cs="Calibri"/>
          <w:i/>
          <w:iCs/>
        </w:rPr>
        <w:t>Martin</w:t>
      </w:r>
      <w:r w:rsidRPr="001E6C94">
        <w:rPr>
          <w:rFonts w:cs="Calibri"/>
        </w:rPr>
        <w:t xml:space="preserve"> </w:t>
      </w:r>
      <w:r w:rsidR="00E5380B" w:rsidRPr="001E6C94">
        <w:rPr>
          <w:rFonts w:cs="Calibri"/>
        </w:rPr>
        <w:t>said,</w:t>
      </w:r>
      <w:r w:rsidRPr="001E6C94">
        <w:rPr>
          <w:rFonts w:cs="Calibri"/>
        </w:rPr>
        <w:t xml:space="preserve"> “the Court is left to construe the statute until the legislature clarifies its meaning by amending the statute or enacts a different statute.” </w:t>
      </w:r>
      <w:r w:rsidRPr="001E6C94">
        <w:rPr>
          <w:rFonts w:cs="Calibri"/>
          <w:i/>
          <w:iCs/>
        </w:rPr>
        <w:t>Id</w:t>
      </w:r>
      <w:r w:rsidRPr="001E6C94">
        <w:rPr>
          <w:rFonts w:cs="Calibri"/>
        </w:rPr>
        <w:t xml:space="preserve">. at 109. Appellant Martin urged the Court to extend the spousal claim beyond death, just as it had recognized the parent–child claims in </w:t>
      </w:r>
      <w:r w:rsidRPr="001E6C94">
        <w:rPr>
          <w:rFonts w:cs="Calibri"/>
          <w:i/>
          <w:iCs/>
        </w:rPr>
        <w:t>Giuliani</w:t>
      </w:r>
      <w:r w:rsidRPr="001E6C94">
        <w:rPr>
          <w:rFonts w:cs="Calibri"/>
        </w:rPr>
        <w:t xml:space="preserve"> and KRS 411.135. The Supreme Court then made a very important statement that the Court did not have to make, unless it intended to send a message about the issue Defendant raises here. It acknowledged KRS 411.135 imposed a limitation </w:t>
      </w:r>
      <w:proofErr w:type="gramStart"/>
      <w:r w:rsidRPr="001E6C94">
        <w:rPr>
          <w:rFonts w:cs="Calibri"/>
        </w:rPr>
        <w:t>to</w:t>
      </w:r>
      <w:proofErr w:type="gramEnd"/>
      <w:r w:rsidRPr="001E6C94">
        <w:rPr>
          <w:rFonts w:cs="Calibri"/>
        </w:rPr>
        <w:t xml:space="preserve"> the age of minority, but essentially said that </w:t>
      </w:r>
      <w:r w:rsidRPr="000E5DCB">
        <w:rPr>
          <w:rFonts w:cs="Calibri"/>
          <w:b/>
          <w:bCs/>
        </w:rPr>
        <w:t>never</w:t>
      </w:r>
      <w:r w:rsidRPr="001E6C94">
        <w:rPr>
          <w:rFonts w:cs="Calibri"/>
        </w:rPr>
        <w:t xml:space="preserve"> has been the law with a child’s parental consortium claim:</w:t>
      </w:r>
    </w:p>
    <w:p w14:paraId="2B5EBA03" w14:textId="55E5063F" w:rsidR="00123081" w:rsidRPr="001E6C94" w:rsidRDefault="00123081" w:rsidP="001E6C94">
      <w:pPr>
        <w:tabs>
          <w:tab w:val="left" w:pos="-1440"/>
          <w:tab w:val="left" w:pos="-720"/>
          <w:tab w:val="righ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spacing w:line="240" w:lineRule="auto"/>
        <w:ind w:left="720" w:right="720"/>
        <w:jc w:val="left"/>
        <w:rPr>
          <w:rFonts w:cs="Calibri"/>
        </w:rPr>
      </w:pPr>
      <w:r w:rsidRPr="001E6C94">
        <w:rPr>
          <w:rFonts w:cs="Calibri"/>
        </w:rPr>
        <w:t xml:space="preserve">It is interesting to note that the statute limits the parent’s recovery to the time it would have taken a child to reach majority, but this Court did not specify such a restriction on a child’s claim for loss of consortium. </w:t>
      </w:r>
      <w:r w:rsidRPr="001E6C94">
        <w:rPr>
          <w:rFonts w:cs="Calibri"/>
          <w:b/>
          <w:bCs/>
          <w:i/>
          <w:iCs/>
        </w:rPr>
        <w:t xml:space="preserve">The opinion is completely silent as to the duration of the </w:t>
      </w:r>
      <w:proofErr w:type="gramStart"/>
      <w:r w:rsidRPr="001E6C94">
        <w:rPr>
          <w:rFonts w:cs="Calibri"/>
          <w:b/>
          <w:bCs/>
          <w:i/>
          <w:iCs/>
        </w:rPr>
        <w:t>damages</w:t>
      </w:r>
      <w:proofErr w:type="gramEnd"/>
      <w:r w:rsidRPr="001E6C94">
        <w:rPr>
          <w:rFonts w:cs="Calibri"/>
          <w:b/>
          <w:bCs/>
          <w:i/>
          <w:iCs/>
        </w:rPr>
        <w:t xml:space="preserve">.  </w:t>
      </w:r>
    </w:p>
    <w:p w14:paraId="6C12E020" w14:textId="77777777" w:rsidR="00123081" w:rsidRPr="001E6C94" w:rsidRDefault="00123081" w:rsidP="001E6C94">
      <w:pPr>
        <w:tabs>
          <w:tab w:val="left" w:pos="-1440"/>
          <w:tab w:val="left" w:pos="-720"/>
          <w:tab w:val="righ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spacing w:line="240" w:lineRule="auto"/>
        <w:jc w:val="left"/>
        <w:rPr>
          <w:rFonts w:cs="Calibri"/>
        </w:rPr>
      </w:pPr>
    </w:p>
    <w:p w14:paraId="2B2D2011" w14:textId="4E2D94D3" w:rsidR="00123081" w:rsidRPr="001E6C94" w:rsidRDefault="00123081" w:rsidP="001E6C94">
      <w:pPr>
        <w:tabs>
          <w:tab w:val="left" w:pos="-1440"/>
          <w:tab w:val="left" w:pos="-720"/>
          <w:tab w:val="righ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spacing w:line="240" w:lineRule="auto"/>
        <w:ind w:firstLine="0"/>
        <w:jc w:val="left"/>
        <w:rPr>
          <w:rFonts w:cs="Calibri"/>
        </w:rPr>
      </w:pPr>
      <w:r w:rsidRPr="001E6C94">
        <w:rPr>
          <w:rFonts w:cs="Calibri"/>
          <w:i/>
          <w:iCs/>
        </w:rPr>
        <w:lastRenderedPageBreak/>
        <w:t>Id</w:t>
      </w:r>
      <w:r w:rsidRPr="001E6C94">
        <w:rPr>
          <w:rFonts w:cs="Calibri"/>
        </w:rPr>
        <w:t xml:space="preserve">. (emphasis added). </w:t>
      </w:r>
      <w:r w:rsidRPr="001E6C94">
        <w:rPr>
          <w:rFonts w:cs="Calibri"/>
          <w:i/>
          <w:iCs/>
        </w:rPr>
        <w:t>Martin</w:t>
      </w:r>
      <w:r w:rsidRPr="001E6C94">
        <w:rPr>
          <w:rFonts w:cs="Calibri"/>
        </w:rPr>
        <w:t xml:space="preserve"> then went further, stating: </w:t>
      </w:r>
    </w:p>
    <w:p w14:paraId="7D33EA23" w14:textId="77777777" w:rsidR="00123081" w:rsidRPr="001E6C94" w:rsidRDefault="00123081" w:rsidP="001E6C94">
      <w:pPr>
        <w:tabs>
          <w:tab w:val="left" w:pos="-1440"/>
          <w:tab w:val="left" w:pos="-720"/>
          <w:tab w:val="righ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spacing w:line="240" w:lineRule="auto"/>
        <w:jc w:val="left"/>
        <w:rPr>
          <w:rFonts w:cs="Calibri"/>
        </w:rPr>
      </w:pPr>
    </w:p>
    <w:p w14:paraId="4BAA493C" w14:textId="77777777" w:rsidR="00123081" w:rsidRPr="001E6C94" w:rsidRDefault="00123081" w:rsidP="001E6C94">
      <w:pPr>
        <w:tabs>
          <w:tab w:val="left" w:pos="-1440"/>
          <w:tab w:val="left" w:pos="-720"/>
          <w:tab w:val="righ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spacing w:line="240" w:lineRule="auto"/>
        <w:ind w:left="720" w:right="720"/>
        <w:jc w:val="left"/>
        <w:rPr>
          <w:rFonts w:cs="Calibri"/>
        </w:rPr>
      </w:pPr>
      <w:r w:rsidRPr="001E6C94">
        <w:rPr>
          <w:rFonts w:cs="Calibri"/>
        </w:rPr>
        <w:t xml:space="preserve">But just as the Court </w:t>
      </w:r>
      <w:r w:rsidRPr="001E6C94">
        <w:rPr>
          <w:rFonts w:cs="Calibri"/>
          <w:b/>
          <w:bCs/>
          <w:i/>
          <w:iCs/>
        </w:rPr>
        <w:t xml:space="preserve">did not address whether loss of parental consortium continues after the age of majority </w:t>
      </w:r>
      <w:r w:rsidRPr="001E6C94">
        <w:rPr>
          <w:rFonts w:cs="Calibri"/>
        </w:rPr>
        <w:t xml:space="preserve">in </w:t>
      </w:r>
      <w:r w:rsidRPr="001E6C94">
        <w:rPr>
          <w:rFonts w:cs="Calibri"/>
          <w:i/>
          <w:iCs/>
        </w:rPr>
        <w:t xml:space="preserve">Guiler, </w:t>
      </w:r>
      <w:r w:rsidRPr="001E6C94">
        <w:rPr>
          <w:rFonts w:cs="Calibri"/>
        </w:rPr>
        <w:t>the legislature has not addressed specifically in the statute whether loss of consortium damages continue after the death of the spouse in KRS 411.145.</w:t>
      </w:r>
    </w:p>
    <w:p w14:paraId="5EC85AD6" w14:textId="77777777" w:rsidR="00123081" w:rsidRPr="001E6C94" w:rsidRDefault="00123081" w:rsidP="001E6C94">
      <w:pPr>
        <w:tabs>
          <w:tab w:val="left" w:pos="-1440"/>
          <w:tab w:val="left" w:pos="-720"/>
          <w:tab w:val="righ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spacing w:line="240" w:lineRule="auto"/>
        <w:jc w:val="left"/>
        <w:rPr>
          <w:rFonts w:cs="Calibri"/>
        </w:rPr>
      </w:pPr>
    </w:p>
    <w:p w14:paraId="4751ADFE" w14:textId="05E28001" w:rsidR="00123081" w:rsidRPr="001E6C94" w:rsidRDefault="00123081" w:rsidP="001E6C94">
      <w:pPr>
        <w:tabs>
          <w:tab w:val="left" w:pos="-1440"/>
          <w:tab w:val="left" w:pos="-720"/>
          <w:tab w:val="righ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ind w:firstLine="0"/>
        <w:jc w:val="left"/>
        <w:rPr>
          <w:rFonts w:cs="Calibri"/>
        </w:rPr>
      </w:pPr>
      <w:r w:rsidRPr="001E6C94">
        <w:rPr>
          <w:rFonts w:cs="Calibri"/>
        </w:rPr>
        <w:t xml:space="preserve"> </w:t>
      </w:r>
      <w:r w:rsidRPr="001E6C94">
        <w:rPr>
          <w:rFonts w:cs="Calibri"/>
          <w:i/>
          <w:iCs/>
        </w:rPr>
        <w:t>Id</w:t>
      </w:r>
      <w:r w:rsidRPr="001E6C94">
        <w:rPr>
          <w:rFonts w:cs="Calibri"/>
        </w:rPr>
        <w:t xml:space="preserve">. (emphasis added). In other words, </w:t>
      </w:r>
      <w:r w:rsidR="006C673A">
        <w:rPr>
          <w:rFonts w:cs="Calibri"/>
        </w:rPr>
        <w:t xml:space="preserve">the Court of Appeals opinions in </w:t>
      </w:r>
      <w:r w:rsidRPr="001E6C94">
        <w:rPr>
          <w:rFonts w:cs="Calibri"/>
          <w:i/>
          <w:iCs/>
        </w:rPr>
        <w:t xml:space="preserve">Smith </w:t>
      </w:r>
      <w:r w:rsidRPr="001E6C94">
        <w:rPr>
          <w:rFonts w:cs="Calibri"/>
        </w:rPr>
        <w:t xml:space="preserve">and </w:t>
      </w:r>
      <w:r w:rsidRPr="001E6C94">
        <w:rPr>
          <w:rFonts w:cs="Calibri"/>
          <w:i/>
          <w:iCs/>
        </w:rPr>
        <w:t xml:space="preserve">Clements </w:t>
      </w:r>
      <w:r w:rsidRPr="001E6C94">
        <w:rPr>
          <w:rFonts w:cs="Calibri"/>
        </w:rPr>
        <w:t xml:space="preserve">were erroneous interpretations of </w:t>
      </w:r>
      <w:r w:rsidRPr="001E6C94">
        <w:rPr>
          <w:rFonts w:cs="Calibri"/>
          <w:i/>
          <w:iCs/>
        </w:rPr>
        <w:t>Giuliani</w:t>
      </w:r>
      <w:r w:rsidRPr="001E6C94">
        <w:rPr>
          <w:rFonts w:cs="Calibri"/>
        </w:rPr>
        <w:t xml:space="preserve">. </w:t>
      </w:r>
      <w:r w:rsidRPr="001E6C94">
        <w:rPr>
          <w:rFonts w:cs="Calibri"/>
          <w:i/>
          <w:iCs/>
        </w:rPr>
        <w:t xml:space="preserve">Martin </w:t>
      </w:r>
      <w:r w:rsidRPr="001E6C94">
        <w:rPr>
          <w:rFonts w:cs="Calibri"/>
        </w:rPr>
        <w:t xml:space="preserve">plainly says </w:t>
      </w:r>
      <w:r w:rsidRPr="001E6C94">
        <w:rPr>
          <w:rFonts w:cs="Calibri"/>
          <w:i/>
          <w:iCs/>
        </w:rPr>
        <w:t>Giuliani</w:t>
      </w:r>
      <w:r w:rsidRPr="001E6C94">
        <w:rPr>
          <w:rFonts w:cs="Calibri"/>
        </w:rPr>
        <w:t xml:space="preserve"> imposed no age </w:t>
      </w:r>
      <w:r w:rsidR="006C673A">
        <w:rPr>
          <w:rFonts w:cs="Calibri"/>
        </w:rPr>
        <w:t>l</w:t>
      </w:r>
      <w:r w:rsidRPr="001E6C94">
        <w:rPr>
          <w:rFonts w:cs="Calibri"/>
        </w:rPr>
        <w:t xml:space="preserve">imit. </w:t>
      </w:r>
      <w:proofErr w:type="gramStart"/>
      <w:r w:rsidR="006C673A">
        <w:rPr>
          <w:rFonts w:cs="Calibri"/>
        </w:rPr>
        <w:t>And,</w:t>
      </w:r>
      <w:proofErr w:type="gramEnd"/>
      <w:r w:rsidR="006C673A">
        <w:rPr>
          <w:rFonts w:cs="Calibri"/>
        </w:rPr>
        <w:t xml:space="preserve"> </w:t>
      </w:r>
      <w:r w:rsidRPr="001E6C94">
        <w:rPr>
          <w:rFonts w:cs="Calibri"/>
          <w:i/>
          <w:iCs/>
        </w:rPr>
        <w:t>Martin</w:t>
      </w:r>
      <w:r w:rsidRPr="001E6C94">
        <w:rPr>
          <w:rFonts w:cs="Calibri"/>
        </w:rPr>
        <w:t xml:space="preserve"> went on to extend the claim for spousal consortium after death, and it specifically noted that:</w:t>
      </w:r>
    </w:p>
    <w:p w14:paraId="238CB27B" w14:textId="6C05E364" w:rsidR="00123081" w:rsidRPr="001E6C94" w:rsidRDefault="00E5380B" w:rsidP="00E5380B">
      <w:pPr>
        <w:tabs>
          <w:tab w:val="left" w:pos="-1440"/>
          <w:tab w:val="left" w:pos="-720"/>
          <w:tab w:val="righ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spacing w:line="240" w:lineRule="auto"/>
        <w:ind w:left="720" w:right="720" w:firstLine="0"/>
        <w:jc w:val="left"/>
        <w:rPr>
          <w:rFonts w:cs="Calibri"/>
          <w:b/>
          <w:bCs/>
        </w:rPr>
      </w:pPr>
      <w:r>
        <w:rPr>
          <w:rFonts w:cs="Calibri"/>
        </w:rPr>
        <w:t>…</w:t>
      </w:r>
      <w:r w:rsidR="00123081" w:rsidRPr="001E6C94">
        <w:rPr>
          <w:rFonts w:cs="Calibri"/>
        </w:rPr>
        <w:t xml:space="preserve">the kinds of damage elements enumerated in the statute are those that describe the personal relationship, mental and physical, between spouses.  It is equally apparent that the pain and deprivation coming from loss of such interactions does not magically disappear the day a spouse dies.  It defies common sense to put a value on such losses while a spouse is lying incapacitated, but to say the loss is worthless after death.  While grief and loss </w:t>
      </w:r>
      <w:proofErr w:type="gramStart"/>
      <w:r w:rsidR="00123081" w:rsidRPr="001E6C94">
        <w:rPr>
          <w:rFonts w:cs="Calibri"/>
        </w:rPr>
        <w:t>is</w:t>
      </w:r>
      <w:proofErr w:type="gramEnd"/>
      <w:r w:rsidR="00123081" w:rsidRPr="001E6C94">
        <w:rPr>
          <w:rFonts w:cs="Calibri"/>
        </w:rPr>
        <w:t xml:space="preserve"> borne in different ways by different people, it is nonetheless a common part of the human condition </w:t>
      </w:r>
      <w:r w:rsidR="00123081" w:rsidRPr="001E6C94">
        <w:rPr>
          <w:rFonts w:cs="Calibri"/>
          <w:b/>
          <w:bCs/>
        </w:rPr>
        <w:t>that a jury can properly evaluate based on the facts and circumstances of each case.</w:t>
      </w:r>
    </w:p>
    <w:p w14:paraId="67A7DDEA" w14:textId="77777777" w:rsidR="00123081" w:rsidRPr="001E6C94" w:rsidRDefault="00123081" w:rsidP="001E6C94">
      <w:pPr>
        <w:tabs>
          <w:tab w:val="left" w:pos="-1440"/>
          <w:tab w:val="left" w:pos="-720"/>
          <w:tab w:val="righ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spacing w:line="240" w:lineRule="auto"/>
        <w:jc w:val="left"/>
        <w:rPr>
          <w:rFonts w:cs="Calibri"/>
        </w:rPr>
      </w:pPr>
    </w:p>
    <w:p w14:paraId="2DF953EB" w14:textId="079B95BE" w:rsidR="00123081" w:rsidRPr="001E6C94" w:rsidRDefault="00123081" w:rsidP="001E6C94">
      <w:pPr>
        <w:tabs>
          <w:tab w:val="left" w:pos="-1440"/>
          <w:tab w:val="left" w:pos="-720"/>
          <w:tab w:val="righ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spacing w:line="240" w:lineRule="auto"/>
        <w:ind w:firstLine="0"/>
        <w:jc w:val="left"/>
        <w:rPr>
          <w:rFonts w:cs="Calibri"/>
        </w:rPr>
      </w:pPr>
      <w:r w:rsidRPr="001E6C94">
        <w:rPr>
          <w:rFonts w:cs="Calibri"/>
          <w:i/>
          <w:iCs/>
        </w:rPr>
        <w:t xml:space="preserve">Id. </w:t>
      </w:r>
      <w:r w:rsidRPr="001E6C94">
        <w:rPr>
          <w:rFonts w:cs="Calibri"/>
        </w:rPr>
        <w:t>(</w:t>
      </w:r>
      <w:r w:rsidR="001E6C94" w:rsidRPr="001E6C94">
        <w:rPr>
          <w:rFonts w:cs="Calibri"/>
        </w:rPr>
        <w:t>e</w:t>
      </w:r>
      <w:r w:rsidRPr="001E6C94">
        <w:rPr>
          <w:rFonts w:cs="Calibri"/>
        </w:rPr>
        <w:t>mphasis added).</w:t>
      </w:r>
      <w:r w:rsidRPr="001E6C94">
        <w:rPr>
          <w:rFonts w:cs="Calibri"/>
          <w:i/>
          <w:iCs/>
        </w:rPr>
        <w:t xml:space="preserve"> </w:t>
      </w:r>
    </w:p>
    <w:p w14:paraId="51152627" w14:textId="77777777" w:rsidR="00123081" w:rsidRPr="001E6C94" w:rsidRDefault="00123081" w:rsidP="001E6C94">
      <w:pPr>
        <w:tabs>
          <w:tab w:val="left" w:pos="-1440"/>
          <w:tab w:val="left" w:pos="-720"/>
          <w:tab w:val="righ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spacing w:line="240" w:lineRule="auto"/>
        <w:jc w:val="left"/>
        <w:rPr>
          <w:rFonts w:cs="Calibri"/>
        </w:rPr>
      </w:pPr>
    </w:p>
    <w:p w14:paraId="33658075" w14:textId="2FA94729" w:rsidR="00123081" w:rsidRPr="001E6C94" w:rsidRDefault="00123081" w:rsidP="001E6C94">
      <w:pPr>
        <w:tabs>
          <w:tab w:val="left" w:pos="-1440"/>
          <w:tab w:val="left" w:pos="-720"/>
          <w:tab w:val="righ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jc w:val="left"/>
        <w:rPr>
          <w:rFonts w:cs="Calibri"/>
        </w:rPr>
      </w:pPr>
      <w:r w:rsidRPr="001E6C94">
        <w:rPr>
          <w:rFonts w:cs="Calibri"/>
        </w:rPr>
        <w:t xml:space="preserve">The Kentucky Supreme Court clearly let lower courts know that the law imposes no age limitation at this juncture. Furthermore, </w:t>
      </w:r>
      <w:r w:rsidR="001E6C94" w:rsidRPr="001E6C94">
        <w:rPr>
          <w:rFonts w:cs="Calibri"/>
        </w:rPr>
        <w:t>the Court</w:t>
      </w:r>
      <w:r w:rsidRPr="001E6C94">
        <w:rPr>
          <w:rFonts w:cs="Calibri"/>
        </w:rPr>
        <w:t xml:space="preserve"> reasoned that a spousal consortium claim does not die at death by recognizing the “common sense” concept that the loss of love and affection does not terminate at a particular point in time. Instead, </w:t>
      </w:r>
      <w:r w:rsidRPr="001E6C94">
        <w:rPr>
          <w:rFonts w:cs="Calibri"/>
          <w:i/>
          <w:iCs/>
        </w:rPr>
        <w:t>Martin</w:t>
      </w:r>
      <w:r w:rsidRPr="001E6C94">
        <w:rPr>
          <w:rFonts w:cs="Calibri"/>
        </w:rPr>
        <w:t xml:space="preserve"> expressed that a jury’s ability to evaluate the question and assess damages appropriately is a much better solution than terminating the </w:t>
      </w:r>
      <w:proofErr w:type="gramStart"/>
      <w:r w:rsidRPr="001E6C94">
        <w:rPr>
          <w:rFonts w:cs="Calibri"/>
        </w:rPr>
        <w:t>damages</w:t>
      </w:r>
      <w:proofErr w:type="gramEnd"/>
      <w:r w:rsidRPr="001E6C94">
        <w:rPr>
          <w:rFonts w:cs="Calibri"/>
        </w:rPr>
        <w:t xml:space="preserve"> at a particular point in time. </w:t>
      </w:r>
      <w:r w:rsidRPr="001E6C94">
        <w:rPr>
          <w:rFonts w:cs="Calibri"/>
          <w:i/>
          <w:iCs/>
        </w:rPr>
        <w:t>See Martin</w:t>
      </w:r>
      <w:r w:rsidRPr="001E6C94">
        <w:rPr>
          <w:rFonts w:cs="Calibri"/>
        </w:rPr>
        <w:t xml:space="preserve">, 295 S.W.3d at 109. The jury can </w:t>
      </w:r>
      <w:r w:rsidRPr="001E6C94">
        <w:rPr>
          <w:rFonts w:cs="Calibri"/>
        </w:rPr>
        <w:lastRenderedPageBreak/>
        <w:t xml:space="preserve">listen to the question and assess damages appropriately, which is a much better solution than terminating the damages. </w:t>
      </w:r>
    </w:p>
    <w:p w14:paraId="57FDDD9F" w14:textId="795B05DE" w:rsidR="00123081" w:rsidRPr="001E6C94" w:rsidRDefault="00123081" w:rsidP="001E6C94">
      <w:pPr>
        <w:tabs>
          <w:tab w:val="left" w:pos="-1440"/>
          <w:tab w:val="left" w:pos="-720"/>
          <w:tab w:val="righ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autoSpaceDE w:val="0"/>
        <w:autoSpaceDN w:val="0"/>
        <w:adjustRightInd w:val="0"/>
        <w:jc w:val="left"/>
        <w:rPr>
          <w:rFonts w:cs="Calibri"/>
        </w:rPr>
      </w:pPr>
      <w:r w:rsidRPr="001E6C94">
        <w:rPr>
          <w:rFonts w:cs="Calibri"/>
        </w:rPr>
        <w:t xml:space="preserve">If Defendant desires to argue the loss is worth less to Monica, Denise, Brian, and Cheri as adults than it would have been to them as minor children, they are free to do so. </w:t>
      </w:r>
      <w:r w:rsidRPr="001E6C94">
        <w:rPr>
          <w:rFonts w:cs="Calibri"/>
          <w:i/>
          <w:iCs/>
        </w:rPr>
        <w:t>Martin</w:t>
      </w:r>
      <w:r w:rsidRPr="001E6C94">
        <w:rPr>
          <w:rFonts w:cs="Calibri"/>
        </w:rPr>
        <w:t xml:space="preserve"> provides a simple response to Defendant’s claim that a child’s claim for loss of a parent </w:t>
      </w:r>
      <w:r w:rsidR="00E5380B">
        <w:rPr>
          <w:rFonts w:cs="Calibri"/>
        </w:rPr>
        <w:t>ends</w:t>
      </w:r>
      <w:r w:rsidRPr="001E6C94">
        <w:rPr>
          <w:rFonts w:cs="Calibri"/>
        </w:rPr>
        <w:t xml:space="preserve"> at the age of 18, and paraphrased, it is</w:t>
      </w:r>
      <w:r w:rsidR="001E6C94" w:rsidRPr="001E6C94">
        <w:rPr>
          <w:rFonts w:cs="Calibri"/>
        </w:rPr>
        <w:t>:</w:t>
      </w:r>
      <w:r w:rsidRPr="001E6C94">
        <w:rPr>
          <w:rFonts w:cs="Calibri"/>
        </w:rPr>
        <w:t xml:space="preserve"> “we created the cause of action and we never said that.” The Supreme Court’s opinion in </w:t>
      </w:r>
      <w:r w:rsidRPr="001E6C94">
        <w:rPr>
          <w:rFonts w:cs="Calibri"/>
          <w:i/>
          <w:iCs/>
        </w:rPr>
        <w:t>Martin</w:t>
      </w:r>
      <w:r w:rsidRPr="001E6C94">
        <w:rPr>
          <w:rFonts w:cs="Calibri"/>
        </w:rPr>
        <w:t xml:space="preserve"> remains persuasive, and this Court should hold </w:t>
      </w:r>
      <w:r w:rsidR="00E5380B">
        <w:rPr>
          <w:rFonts w:cs="Calibri"/>
        </w:rPr>
        <w:t>a</w:t>
      </w:r>
      <w:r w:rsidRPr="001E6C94">
        <w:rPr>
          <w:rFonts w:cs="Calibri"/>
        </w:rPr>
        <w:t xml:space="preserve"> child’s claim for the loss of a parent does not die at the age of 18, just as </w:t>
      </w:r>
      <w:r w:rsidRPr="001E6C94">
        <w:rPr>
          <w:rFonts w:cs="Calibri"/>
          <w:i/>
          <w:iCs/>
        </w:rPr>
        <w:t>Martin</w:t>
      </w:r>
      <w:r w:rsidRPr="001E6C94">
        <w:rPr>
          <w:rFonts w:cs="Calibri"/>
        </w:rPr>
        <w:t xml:space="preserve"> indicated. </w:t>
      </w:r>
    </w:p>
    <w:p w14:paraId="5F479F32" w14:textId="006B8C36" w:rsidR="00B76C5F" w:rsidRPr="003A16ED" w:rsidRDefault="00074ACD" w:rsidP="001E6C94">
      <w:pPr>
        <w:pStyle w:val="BrfBdy"/>
        <w:rPr>
          <w:szCs w:val="24"/>
        </w:rPr>
      </w:pPr>
      <w:r>
        <w:rPr>
          <w:szCs w:val="24"/>
        </w:rPr>
        <w:t xml:space="preserve">In </w:t>
      </w:r>
      <w:r w:rsidR="00B76C5F" w:rsidRPr="003A16ED">
        <w:rPr>
          <w:i/>
          <w:iCs/>
          <w:szCs w:val="24"/>
        </w:rPr>
        <w:t>Martin</w:t>
      </w:r>
      <w:r>
        <w:rPr>
          <w:szCs w:val="24"/>
        </w:rPr>
        <w:t>, the Kentucky Supreme Court wisely stated</w:t>
      </w:r>
      <w:r w:rsidR="00B76C5F" w:rsidRPr="003A16ED">
        <w:rPr>
          <w:szCs w:val="24"/>
        </w:rPr>
        <w:t xml:space="preserve"> that the “pain and deprivation” caused by the loss of spousal interactions does not “magically disappear” when the spouse dies. 295 S.W.3d at 109. </w:t>
      </w:r>
      <w:r>
        <w:rPr>
          <w:szCs w:val="24"/>
        </w:rPr>
        <w:t xml:space="preserve">Here, this </w:t>
      </w:r>
      <w:r w:rsidR="00B76C5F" w:rsidRPr="003A16ED">
        <w:rPr>
          <w:szCs w:val="24"/>
        </w:rPr>
        <w:t xml:space="preserve">is equally true: the pain and deprivation </w:t>
      </w:r>
      <w:r>
        <w:rPr>
          <w:szCs w:val="24"/>
        </w:rPr>
        <w:t xml:space="preserve">caused by </w:t>
      </w:r>
      <w:r w:rsidR="00B76C5F" w:rsidRPr="003A16ED">
        <w:rPr>
          <w:szCs w:val="24"/>
        </w:rPr>
        <w:t xml:space="preserve">a child’s loss of interactions with their parent “does not magically disappear” the day the child reaches an arbitrary age. As </w:t>
      </w:r>
      <w:r w:rsidR="00B76C5F" w:rsidRPr="003A16ED">
        <w:rPr>
          <w:i/>
          <w:iCs/>
          <w:szCs w:val="24"/>
        </w:rPr>
        <w:t>Martin</w:t>
      </w:r>
      <w:r w:rsidR="00B76C5F" w:rsidRPr="003A16ED">
        <w:rPr>
          <w:szCs w:val="24"/>
        </w:rPr>
        <w:t xml:space="preserve"> stated so eloquently, “[w]</w:t>
      </w:r>
      <w:proofErr w:type="spellStart"/>
      <w:r w:rsidR="00B76C5F" w:rsidRPr="003A16ED">
        <w:rPr>
          <w:szCs w:val="24"/>
        </w:rPr>
        <w:t>hile</w:t>
      </w:r>
      <w:proofErr w:type="spellEnd"/>
      <w:r w:rsidR="00B76C5F" w:rsidRPr="003A16ED">
        <w:rPr>
          <w:szCs w:val="24"/>
        </w:rPr>
        <w:t xml:space="preserve"> grief and loss is borne in different ways by different people, it is nonetheless a common part of the human condition that a </w:t>
      </w:r>
      <w:r w:rsidR="00B76C5F" w:rsidRPr="003A16ED">
        <w:rPr>
          <w:i/>
          <w:iCs/>
          <w:szCs w:val="24"/>
        </w:rPr>
        <w:t>jury can properly evaluate</w:t>
      </w:r>
      <w:r w:rsidR="00B76C5F" w:rsidRPr="003A16ED">
        <w:rPr>
          <w:szCs w:val="24"/>
        </w:rPr>
        <w:t xml:space="preserve"> based on the facts and circumstances of each case.” </w:t>
      </w:r>
      <w:r w:rsidR="00B76C5F" w:rsidRPr="003A16ED">
        <w:rPr>
          <w:i/>
          <w:iCs/>
          <w:szCs w:val="24"/>
        </w:rPr>
        <w:t>Id</w:t>
      </w:r>
      <w:r w:rsidR="00B76C5F" w:rsidRPr="003A16ED">
        <w:rPr>
          <w:szCs w:val="24"/>
        </w:rPr>
        <w:t xml:space="preserve">. (emphasis added). </w:t>
      </w:r>
      <w:r>
        <w:rPr>
          <w:szCs w:val="24"/>
        </w:rPr>
        <w:t xml:space="preserve">This is </w:t>
      </w:r>
      <w:r w:rsidR="00B76C5F" w:rsidRPr="003A16ED">
        <w:rPr>
          <w:szCs w:val="24"/>
        </w:rPr>
        <w:t>Plaintiffs</w:t>
      </w:r>
      <w:r w:rsidR="009C6BB3">
        <w:rPr>
          <w:szCs w:val="24"/>
        </w:rPr>
        <w:t>’</w:t>
      </w:r>
      <w:r w:rsidR="00B76C5F" w:rsidRPr="003A16ED">
        <w:rPr>
          <w:szCs w:val="24"/>
        </w:rPr>
        <w:t xml:space="preserve"> request: </w:t>
      </w:r>
      <w:r>
        <w:rPr>
          <w:szCs w:val="24"/>
        </w:rPr>
        <w:t>allow</w:t>
      </w:r>
      <w:r w:rsidR="00B76C5F" w:rsidRPr="003A16ED">
        <w:rPr>
          <w:szCs w:val="24"/>
        </w:rPr>
        <w:t xml:space="preserve"> the children’s consortium claims remain as a matter of law</w:t>
      </w:r>
      <w:r w:rsidR="009C6BB3">
        <w:rPr>
          <w:szCs w:val="24"/>
        </w:rPr>
        <w:t>. L</w:t>
      </w:r>
      <w:r w:rsidR="00B76C5F" w:rsidRPr="003A16ED">
        <w:rPr>
          <w:szCs w:val="24"/>
        </w:rPr>
        <w:t xml:space="preserve">et the jury assess the value of </w:t>
      </w:r>
      <w:r w:rsidR="009C6BB3">
        <w:rPr>
          <w:szCs w:val="24"/>
        </w:rPr>
        <w:t>their</w:t>
      </w:r>
      <w:r w:rsidR="00B76C5F" w:rsidRPr="003A16ED">
        <w:rPr>
          <w:szCs w:val="24"/>
        </w:rPr>
        <w:t xml:space="preserve"> loss</w:t>
      </w:r>
      <w:r w:rsidR="009C6BB3">
        <w:rPr>
          <w:szCs w:val="24"/>
        </w:rPr>
        <w:t xml:space="preserve"> --</w:t>
      </w:r>
      <w:r w:rsidR="00B76C5F" w:rsidRPr="003A16ED">
        <w:rPr>
          <w:szCs w:val="24"/>
        </w:rPr>
        <w:t xml:space="preserve"> of</w:t>
      </w:r>
      <w:r>
        <w:rPr>
          <w:szCs w:val="24"/>
        </w:rPr>
        <w:t xml:space="preserve"> </w:t>
      </w:r>
      <w:r w:rsidR="009C6BB3">
        <w:rPr>
          <w:szCs w:val="24"/>
        </w:rPr>
        <w:t xml:space="preserve">the </w:t>
      </w:r>
      <w:r w:rsidR="00B76C5F" w:rsidRPr="003A16ED">
        <w:rPr>
          <w:szCs w:val="24"/>
        </w:rPr>
        <w:t xml:space="preserve">love and affection of their </w:t>
      </w:r>
      <w:r>
        <w:rPr>
          <w:szCs w:val="24"/>
        </w:rPr>
        <w:t>mom</w:t>
      </w:r>
      <w:r w:rsidR="00B76C5F" w:rsidRPr="003A16ED">
        <w:rPr>
          <w:szCs w:val="24"/>
        </w:rPr>
        <w:t xml:space="preserve">, </w:t>
      </w:r>
      <w:r w:rsidR="00B07814">
        <w:rPr>
          <w:szCs w:val="24"/>
        </w:rPr>
        <w:t>Timmi</w:t>
      </w:r>
      <w:r w:rsidR="00B76C5F" w:rsidRPr="003A16ED">
        <w:rPr>
          <w:szCs w:val="24"/>
        </w:rPr>
        <w:t xml:space="preserve">. </w:t>
      </w:r>
    </w:p>
    <w:p w14:paraId="65D5C910" w14:textId="1B57B468" w:rsidR="0028303A" w:rsidRDefault="00B76C5F" w:rsidP="00B76C5F">
      <w:pPr>
        <w:pStyle w:val="BrfBdy"/>
        <w:rPr>
          <w:szCs w:val="24"/>
        </w:rPr>
      </w:pPr>
      <w:r w:rsidRPr="003A16ED">
        <w:rPr>
          <w:i/>
          <w:iCs/>
          <w:szCs w:val="24"/>
        </w:rPr>
        <w:t>Martin</w:t>
      </w:r>
      <w:r w:rsidRPr="003A16ED">
        <w:rPr>
          <w:szCs w:val="24"/>
        </w:rPr>
        <w:t xml:space="preserve"> comes from the same court that penned</w:t>
      </w:r>
      <w:r w:rsidRPr="003A16ED">
        <w:rPr>
          <w:i/>
          <w:iCs/>
          <w:szCs w:val="24"/>
        </w:rPr>
        <w:t xml:space="preserve"> Giuliani</w:t>
      </w:r>
      <w:r w:rsidRPr="003A16ED">
        <w:rPr>
          <w:szCs w:val="24"/>
        </w:rPr>
        <w:t xml:space="preserve">; of all judicial bodies, it should know what it meant just over a decade prior. That </w:t>
      </w:r>
      <w:r w:rsidRPr="003A16ED">
        <w:rPr>
          <w:i/>
          <w:iCs/>
          <w:szCs w:val="24"/>
        </w:rPr>
        <w:t>Martin</w:t>
      </w:r>
      <w:r w:rsidRPr="003A16ED">
        <w:rPr>
          <w:szCs w:val="24"/>
        </w:rPr>
        <w:t xml:space="preserve">, a case </w:t>
      </w:r>
      <w:r w:rsidRPr="003A16ED">
        <w:rPr>
          <w:szCs w:val="24"/>
        </w:rPr>
        <w:lastRenderedPageBreak/>
        <w:t xml:space="preserve">addressing an entirely different issue on a different type of consortium claim, took it upon itself to twice comment that </w:t>
      </w:r>
      <w:r w:rsidRPr="003A16ED">
        <w:rPr>
          <w:i/>
          <w:iCs/>
          <w:szCs w:val="24"/>
        </w:rPr>
        <w:t>Giuliani</w:t>
      </w:r>
      <w:r w:rsidRPr="003A16ED">
        <w:rPr>
          <w:szCs w:val="24"/>
        </w:rPr>
        <w:t xml:space="preserve"> </w:t>
      </w:r>
      <w:r w:rsidRPr="003A16ED">
        <w:rPr>
          <w:b/>
          <w:bCs/>
          <w:szCs w:val="24"/>
        </w:rPr>
        <w:t xml:space="preserve">did not impose an age limit </w:t>
      </w:r>
      <w:r w:rsidRPr="003A16ED">
        <w:rPr>
          <w:szCs w:val="24"/>
        </w:rPr>
        <w:t xml:space="preserve">should not be read as random musings but an intentional rejection of the interpretations of </w:t>
      </w:r>
      <w:r w:rsidRPr="003A16ED">
        <w:rPr>
          <w:i/>
          <w:iCs/>
          <w:szCs w:val="24"/>
        </w:rPr>
        <w:t>Giuliani</w:t>
      </w:r>
      <w:r w:rsidRPr="003A16ED">
        <w:rPr>
          <w:szCs w:val="24"/>
        </w:rPr>
        <w:t xml:space="preserve"> </w:t>
      </w:r>
      <w:r>
        <w:rPr>
          <w:szCs w:val="24"/>
        </w:rPr>
        <w:t xml:space="preserve">and the age limitations imposed </w:t>
      </w:r>
      <w:r w:rsidR="0028303A">
        <w:rPr>
          <w:szCs w:val="24"/>
        </w:rPr>
        <w:t xml:space="preserve">by a lesser court </w:t>
      </w:r>
      <w:r w:rsidRPr="003A16ED">
        <w:rPr>
          <w:szCs w:val="24"/>
        </w:rPr>
        <w:t xml:space="preserve">in </w:t>
      </w:r>
      <w:r w:rsidRPr="003A16ED">
        <w:rPr>
          <w:i/>
          <w:iCs/>
          <w:szCs w:val="24"/>
        </w:rPr>
        <w:t>Smith</w:t>
      </w:r>
      <w:r w:rsidRPr="003A16ED">
        <w:rPr>
          <w:szCs w:val="24"/>
        </w:rPr>
        <w:t xml:space="preserve"> and </w:t>
      </w:r>
      <w:r w:rsidRPr="003A16ED">
        <w:rPr>
          <w:i/>
          <w:iCs/>
          <w:szCs w:val="24"/>
        </w:rPr>
        <w:t>Clements</w:t>
      </w:r>
      <w:r w:rsidRPr="003A16ED">
        <w:rPr>
          <w:szCs w:val="24"/>
        </w:rPr>
        <w:t xml:space="preserve">. </w:t>
      </w:r>
    </w:p>
    <w:p w14:paraId="53A82F8E" w14:textId="576DD75C" w:rsidR="00B76C5F" w:rsidRPr="003A16ED" w:rsidRDefault="00B76C5F" w:rsidP="00B76C5F">
      <w:pPr>
        <w:pStyle w:val="BrfBdy"/>
        <w:rPr>
          <w:szCs w:val="24"/>
        </w:rPr>
      </w:pPr>
      <w:r w:rsidRPr="003A16ED">
        <w:rPr>
          <w:szCs w:val="24"/>
        </w:rPr>
        <w:t xml:space="preserve">Plaintiffs respectfully submit that the trial court is obligated to follow the law of </w:t>
      </w:r>
      <w:r w:rsidR="0028303A">
        <w:rPr>
          <w:szCs w:val="24"/>
        </w:rPr>
        <w:t>Kentucky’s</w:t>
      </w:r>
      <w:r w:rsidRPr="003A16ED">
        <w:rPr>
          <w:szCs w:val="24"/>
        </w:rPr>
        <w:t xml:space="preserve"> highest court over and above erroneous interpretations of the appellate court. As stated, th</w:t>
      </w:r>
      <w:r w:rsidR="00E5380B">
        <w:rPr>
          <w:szCs w:val="24"/>
        </w:rPr>
        <w:t>is</w:t>
      </w:r>
      <w:r w:rsidRPr="003A16ED">
        <w:rPr>
          <w:szCs w:val="24"/>
        </w:rPr>
        <w:t xml:space="preserve"> Court, as a common law court, has the full authority to recognize common law causes of action, so long as there is no binding authority—whether judicial, legislative, or constitutional—precluding it from doing so</w:t>
      </w:r>
      <w:r>
        <w:rPr>
          <w:szCs w:val="24"/>
        </w:rPr>
        <w:t>:</w:t>
      </w:r>
    </w:p>
    <w:p w14:paraId="76352CA1" w14:textId="77777777" w:rsidR="00B76C5F" w:rsidRPr="00CA5D8A" w:rsidRDefault="00B76C5F" w:rsidP="00B76C5F">
      <w:pPr>
        <w:pStyle w:val="CaseQuote"/>
        <w:ind w:left="1440" w:right="1440"/>
        <w:rPr>
          <w:rFonts w:ascii="Century Schoolbook" w:hAnsi="Century Schoolbook" w:cs="Times New Roman"/>
          <w:szCs w:val="24"/>
        </w:rPr>
      </w:pPr>
      <w:r w:rsidRPr="00CA5D8A">
        <w:rPr>
          <w:rFonts w:ascii="Century Schoolbook" w:hAnsi="Century Schoolbook" w:cs="Times New Roman"/>
          <w:szCs w:val="24"/>
        </w:rPr>
        <w:t xml:space="preserve">Recognition of loss of consortium as a </w:t>
      </w:r>
      <w:r w:rsidRPr="00CA5D8A">
        <w:rPr>
          <w:rFonts w:ascii="Century Schoolbook" w:hAnsi="Century Schoolbook" w:cs="Times New Roman"/>
          <w:i/>
          <w:iCs/>
          <w:szCs w:val="24"/>
        </w:rPr>
        <w:t>proper development of the common law</w:t>
      </w:r>
      <w:r w:rsidRPr="00CA5D8A">
        <w:rPr>
          <w:rFonts w:ascii="Century Schoolbook" w:hAnsi="Century Schoolbook" w:cs="Times New Roman"/>
          <w:szCs w:val="24"/>
        </w:rPr>
        <w:t xml:space="preserve"> does not invade the province of the legislature to determine public policy questions. It is beyond challenge that public policy is determined by the constitution and the legislature through the enactment of statutes. However, when those organs of public policy are silent, </w:t>
      </w:r>
      <w:r w:rsidRPr="00CA5D8A">
        <w:rPr>
          <w:rFonts w:ascii="Century Schoolbook" w:hAnsi="Century Schoolbook" w:cs="Times New Roman"/>
          <w:i/>
          <w:iCs/>
          <w:szCs w:val="24"/>
        </w:rPr>
        <w:t>the decision can be made by the courts</w:t>
      </w:r>
      <w:r w:rsidRPr="00CA5D8A">
        <w:rPr>
          <w:rFonts w:ascii="Century Schoolbook" w:hAnsi="Century Schoolbook" w:cs="Times New Roman"/>
          <w:szCs w:val="24"/>
        </w:rPr>
        <w:t>.</w:t>
      </w:r>
    </w:p>
    <w:p w14:paraId="70FE18B7" w14:textId="0573E91D" w:rsidR="00B76C5F" w:rsidRPr="003A16ED" w:rsidRDefault="00B76C5F" w:rsidP="00B76C5F">
      <w:pPr>
        <w:pStyle w:val="BrfBdy"/>
        <w:ind w:firstLine="0"/>
        <w:rPr>
          <w:szCs w:val="24"/>
        </w:rPr>
      </w:pPr>
      <w:r w:rsidRPr="003A16ED">
        <w:rPr>
          <w:i/>
          <w:iCs/>
          <w:szCs w:val="24"/>
        </w:rPr>
        <w:t>Giuliani</w:t>
      </w:r>
      <w:r w:rsidRPr="003A16ED">
        <w:rPr>
          <w:szCs w:val="24"/>
        </w:rPr>
        <w:t xml:space="preserve">, 951 S.W.2d at 321 (emphasis added). But it is not just a matter of whether the Court </w:t>
      </w:r>
      <w:proofErr w:type="gramStart"/>
      <w:r w:rsidRPr="003A16ED">
        <w:rPr>
          <w:szCs w:val="24"/>
        </w:rPr>
        <w:t xml:space="preserve">has the </w:t>
      </w:r>
      <w:r w:rsidRPr="003A16ED">
        <w:rPr>
          <w:i/>
          <w:iCs/>
          <w:szCs w:val="24"/>
        </w:rPr>
        <w:t>ability</w:t>
      </w:r>
      <w:r w:rsidRPr="003A16ED">
        <w:rPr>
          <w:szCs w:val="24"/>
        </w:rPr>
        <w:t xml:space="preserve"> to</w:t>
      </w:r>
      <w:proofErr w:type="gramEnd"/>
      <w:r w:rsidRPr="003A16ED">
        <w:rPr>
          <w:szCs w:val="24"/>
        </w:rPr>
        <w:t xml:space="preserve"> recognize the </w:t>
      </w:r>
      <w:r w:rsidR="00B07814">
        <w:rPr>
          <w:szCs w:val="24"/>
        </w:rPr>
        <w:t>Tinkers’</w:t>
      </w:r>
      <w:r w:rsidRPr="003A16ED">
        <w:rPr>
          <w:szCs w:val="24"/>
        </w:rPr>
        <w:t xml:space="preserve"> claims; </w:t>
      </w:r>
      <w:r w:rsidRPr="00E5380B">
        <w:rPr>
          <w:i/>
          <w:iCs/>
          <w:szCs w:val="24"/>
        </w:rPr>
        <w:t>Giuliani</w:t>
      </w:r>
      <w:r w:rsidRPr="003A16ED">
        <w:rPr>
          <w:szCs w:val="24"/>
        </w:rPr>
        <w:t xml:space="preserve"> says that the Court has a </w:t>
      </w:r>
      <w:r w:rsidRPr="003A16ED">
        <w:rPr>
          <w:i/>
          <w:iCs/>
          <w:szCs w:val="24"/>
        </w:rPr>
        <w:t>duty</w:t>
      </w:r>
      <w:r w:rsidRPr="003A16ED">
        <w:rPr>
          <w:szCs w:val="24"/>
        </w:rPr>
        <w:t xml:space="preserve"> and a </w:t>
      </w:r>
      <w:r w:rsidRPr="003A16ED">
        <w:rPr>
          <w:i/>
          <w:iCs/>
          <w:szCs w:val="24"/>
        </w:rPr>
        <w:t>responsibility</w:t>
      </w:r>
      <w:r w:rsidRPr="003A16ED">
        <w:rPr>
          <w:szCs w:val="24"/>
        </w:rPr>
        <w:t xml:space="preserve"> to do so if the circumstances warrant. </w:t>
      </w:r>
      <w:r w:rsidRPr="003A16ED">
        <w:rPr>
          <w:i/>
          <w:iCs/>
          <w:szCs w:val="24"/>
        </w:rPr>
        <w:t>See</w:t>
      </w:r>
      <w:r w:rsidRPr="003A16ED">
        <w:rPr>
          <w:szCs w:val="24"/>
        </w:rPr>
        <w:t xml:space="preserve"> </w:t>
      </w:r>
      <w:r w:rsidRPr="003A16ED">
        <w:rPr>
          <w:i/>
          <w:iCs/>
          <w:szCs w:val="24"/>
        </w:rPr>
        <w:t>supra</w:t>
      </w:r>
      <w:r w:rsidRPr="003A16ED">
        <w:rPr>
          <w:szCs w:val="24"/>
        </w:rPr>
        <w:t xml:space="preserve"> at 1. Indeed, that is the very function of the common law judiciary—to “employ a remedy to fit alternate situations and conditions” so that the law can develop and adapt to the case and circumstances at hand. </w:t>
      </w:r>
      <w:r w:rsidRPr="003A16ED">
        <w:rPr>
          <w:i/>
          <w:iCs/>
          <w:szCs w:val="24"/>
        </w:rPr>
        <w:t>Id</w:t>
      </w:r>
      <w:r w:rsidRPr="003A16ED">
        <w:rPr>
          <w:szCs w:val="24"/>
        </w:rPr>
        <w:t xml:space="preserve">. </w:t>
      </w:r>
    </w:p>
    <w:p w14:paraId="398765F1" w14:textId="68F16CFF" w:rsidR="00B76C5F" w:rsidRPr="003A16ED" w:rsidRDefault="00E5380B" w:rsidP="00B76C5F">
      <w:pPr>
        <w:pStyle w:val="BrfBdy"/>
        <w:rPr>
          <w:szCs w:val="24"/>
        </w:rPr>
      </w:pPr>
      <w:r>
        <w:rPr>
          <w:szCs w:val="24"/>
        </w:rPr>
        <w:t>As</w:t>
      </w:r>
      <w:r w:rsidR="00B76C5F" w:rsidRPr="003A16ED">
        <w:rPr>
          <w:szCs w:val="24"/>
        </w:rPr>
        <w:t xml:space="preserve"> Justice Leibson</w:t>
      </w:r>
      <w:r>
        <w:rPr>
          <w:szCs w:val="24"/>
        </w:rPr>
        <w:t xml:space="preserve"> eloquently stated w</w:t>
      </w:r>
      <w:r w:rsidR="00B76C5F" w:rsidRPr="003A16ED">
        <w:rPr>
          <w:szCs w:val="24"/>
        </w:rPr>
        <w:t xml:space="preserve">hen the </w:t>
      </w:r>
      <w:r>
        <w:rPr>
          <w:szCs w:val="24"/>
        </w:rPr>
        <w:t xml:space="preserve">Kentucky </w:t>
      </w:r>
      <w:r w:rsidR="00B76C5F" w:rsidRPr="003A16ED">
        <w:rPr>
          <w:szCs w:val="24"/>
        </w:rPr>
        <w:t xml:space="preserve">Supreme Court adopted comparative negligence as the law of Kentucky: “The common law is not a stagnant pool, but a moving stream. It seeks to purify itself as it flows through time. </w:t>
      </w:r>
      <w:r w:rsidR="00B76C5F" w:rsidRPr="003A16ED">
        <w:rPr>
          <w:szCs w:val="24"/>
        </w:rPr>
        <w:lastRenderedPageBreak/>
        <w:t xml:space="preserve">The common law is our responsibility; the child of the courts. We are responsible for its direction.” </w:t>
      </w:r>
      <w:r w:rsidR="00B76C5F" w:rsidRPr="003A16ED">
        <w:rPr>
          <w:i/>
          <w:iCs/>
          <w:szCs w:val="24"/>
        </w:rPr>
        <w:t>Hilen v. Hays</w:t>
      </w:r>
      <w:r w:rsidR="00B76C5F" w:rsidRPr="003A16ED">
        <w:rPr>
          <w:szCs w:val="24"/>
        </w:rPr>
        <w:t xml:space="preserve">, 673 S.W.2d 713, 717 (Ky. 1984) (internal citation omitted). </w:t>
      </w:r>
      <w:r w:rsidR="00B76C5F">
        <w:rPr>
          <w:szCs w:val="24"/>
        </w:rPr>
        <w:t xml:space="preserve">This Court can, and should, recognize that Kentucky law does not bar, as a matter of law, adult children from pursuing claims for the loss of their </w:t>
      </w:r>
      <w:proofErr w:type="gramStart"/>
      <w:r w:rsidR="00B76C5F">
        <w:rPr>
          <w:szCs w:val="24"/>
        </w:rPr>
        <w:t>parent</w:t>
      </w:r>
      <w:proofErr w:type="gramEnd"/>
      <w:r w:rsidR="00B76C5F">
        <w:rPr>
          <w:szCs w:val="24"/>
        </w:rPr>
        <w:t>.</w:t>
      </w:r>
    </w:p>
    <w:p w14:paraId="3C0A3A87" w14:textId="5BCF57D5" w:rsidR="00B76C5F" w:rsidRPr="003A16ED" w:rsidRDefault="00B76C5F" w:rsidP="00B76C5F">
      <w:pPr>
        <w:pStyle w:val="BrfBdy"/>
        <w:rPr>
          <w:szCs w:val="24"/>
        </w:rPr>
      </w:pPr>
      <w:r w:rsidRPr="003A16ED">
        <w:rPr>
          <w:i/>
          <w:iCs/>
          <w:szCs w:val="24"/>
        </w:rPr>
        <w:t>Martin</w:t>
      </w:r>
      <w:r w:rsidR="00E5380B">
        <w:rPr>
          <w:szCs w:val="24"/>
        </w:rPr>
        <w:t xml:space="preserve"> </w:t>
      </w:r>
      <w:r w:rsidRPr="003A16ED">
        <w:rPr>
          <w:szCs w:val="24"/>
        </w:rPr>
        <w:t>specifically noted that</w:t>
      </w:r>
      <w:r w:rsidR="00E5380B">
        <w:rPr>
          <w:szCs w:val="24"/>
        </w:rPr>
        <w:t>,</w:t>
      </w:r>
      <w:r w:rsidRPr="003A16ED">
        <w:rPr>
          <w:szCs w:val="24"/>
        </w:rPr>
        <w:t xml:space="preserve"> ultimately</w:t>
      </w:r>
      <w:r w:rsidR="00E5380B">
        <w:rPr>
          <w:szCs w:val="24"/>
        </w:rPr>
        <w:t>,</w:t>
      </w:r>
      <w:r w:rsidRPr="003A16ED">
        <w:rPr>
          <w:szCs w:val="24"/>
        </w:rPr>
        <w:t xml:space="preserve"> loss of consortium is an inherently fact-based claim, making it impossible to put in a box based on arbitrary factors (like age) alone:</w:t>
      </w:r>
    </w:p>
    <w:p w14:paraId="6F741D37" w14:textId="19652AFA" w:rsidR="00B76C5F" w:rsidRPr="00CA5D8A" w:rsidRDefault="00B76C5F" w:rsidP="00B76C5F">
      <w:pPr>
        <w:pStyle w:val="CaseQuote"/>
        <w:ind w:left="1440" w:right="1440"/>
        <w:rPr>
          <w:rFonts w:ascii="Century Schoolbook" w:hAnsi="Century Schoolbook"/>
          <w:b/>
          <w:bCs/>
          <w:szCs w:val="24"/>
        </w:rPr>
      </w:pPr>
      <w:r w:rsidRPr="00CA5D8A">
        <w:rPr>
          <w:rFonts w:ascii="Century Schoolbook" w:hAnsi="Century Schoolbook"/>
          <w:szCs w:val="24"/>
        </w:rPr>
        <w:t>[</w:t>
      </w:r>
      <w:r w:rsidRPr="00CA5D8A">
        <w:rPr>
          <w:rFonts w:ascii="Century Schoolbook" w:hAnsi="Century Schoolbook" w:cs="Times New Roman"/>
          <w:szCs w:val="24"/>
        </w:rPr>
        <w:t>T]</w:t>
      </w:r>
      <w:proofErr w:type="gramStart"/>
      <w:r w:rsidRPr="00CA5D8A">
        <w:rPr>
          <w:rFonts w:ascii="Century Schoolbook" w:hAnsi="Century Schoolbook" w:cs="Times New Roman"/>
          <w:szCs w:val="24"/>
        </w:rPr>
        <w:t>he</w:t>
      </w:r>
      <w:proofErr w:type="gramEnd"/>
      <w:r w:rsidRPr="00CA5D8A">
        <w:rPr>
          <w:rFonts w:ascii="Century Schoolbook" w:hAnsi="Century Schoolbook" w:cs="Times New Roman"/>
          <w:szCs w:val="24"/>
        </w:rPr>
        <w:t xml:space="preserve"> kinds of damage elements enumerated in the statute are those that describe the personal relationship, mental and physical, between spouses. It is equally apparent that the </w:t>
      </w:r>
      <w:r w:rsidRPr="00CA5D8A">
        <w:rPr>
          <w:rFonts w:ascii="Century Schoolbook" w:hAnsi="Century Schoolbook" w:cs="Times New Roman"/>
          <w:b/>
          <w:bCs/>
          <w:szCs w:val="24"/>
        </w:rPr>
        <w:t>pain and deprivation</w:t>
      </w:r>
      <w:r w:rsidRPr="00CA5D8A">
        <w:rPr>
          <w:rFonts w:ascii="Century Schoolbook" w:hAnsi="Century Schoolbook" w:cs="Times New Roman"/>
          <w:szCs w:val="24"/>
        </w:rPr>
        <w:t xml:space="preserve"> coming from loss of such interactions </w:t>
      </w:r>
      <w:r w:rsidRPr="00CA5D8A">
        <w:rPr>
          <w:rFonts w:ascii="Century Schoolbook" w:hAnsi="Century Schoolbook" w:cs="Times New Roman"/>
          <w:b/>
          <w:bCs/>
          <w:szCs w:val="24"/>
        </w:rPr>
        <w:t>does not magically disappear the day a spouse dies</w:t>
      </w:r>
      <w:r w:rsidRPr="00CA5D8A">
        <w:rPr>
          <w:rFonts w:ascii="Century Schoolbook" w:hAnsi="Century Schoolbook" w:cs="Times New Roman"/>
          <w:szCs w:val="24"/>
        </w:rPr>
        <w:t xml:space="preserve">. It defies common sense to put a value on such losses while a spouse is lying incapacitated, but to say the loss is worthless after death. While grief and loss </w:t>
      </w:r>
      <w:proofErr w:type="gramStart"/>
      <w:r w:rsidRPr="00CA5D8A">
        <w:rPr>
          <w:rFonts w:ascii="Century Schoolbook" w:hAnsi="Century Schoolbook" w:cs="Times New Roman"/>
          <w:szCs w:val="24"/>
        </w:rPr>
        <w:t>is</w:t>
      </w:r>
      <w:proofErr w:type="gramEnd"/>
      <w:r w:rsidRPr="00CA5D8A">
        <w:rPr>
          <w:rFonts w:ascii="Century Schoolbook" w:hAnsi="Century Schoolbook" w:cs="Times New Roman"/>
          <w:szCs w:val="24"/>
        </w:rPr>
        <w:t xml:space="preserve"> borne in different ways by different people, it is nonetheless a common part of the human condition </w:t>
      </w:r>
      <w:r w:rsidRPr="00CA5D8A">
        <w:rPr>
          <w:rFonts w:ascii="Century Schoolbook" w:hAnsi="Century Schoolbook" w:cs="Times New Roman"/>
          <w:b/>
          <w:bCs/>
          <w:szCs w:val="24"/>
        </w:rPr>
        <w:t>that a jury can properly evaluate based on the facts and circumstances of each case.</w:t>
      </w:r>
    </w:p>
    <w:p w14:paraId="5491AE75" w14:textId="40500A62" w:rsidR="00B76C5F" w:rsidRPr="003A16ED" w:rsidRDefault="00B76C5F" w:rsidP="00B76C5F">
      <w:pPr>
        <w:pStyle w:val="BrfBdy"/>
        <w:ind w:firstLine="0"/>
        <w:rPr>
          <w:szCs w:val="24"/>
        </w:rPr>
      </w:pPr>
      <w:r w:rsidRPr="003A16ED">
        <w:rPr>
          <w:szCs w:val="24"/>
        </w:rPr>
        <w:t>295 S.W.3d at 109</w:t>
      </w:r>
      <w:r w:rsidRPr="003A16ED">
        <w:rPr>
          <w:i/>
          <w:iCs/>
          <w:szCs w:val="24"/>
        </w:rPr>
        <w:t xml:space="preserve"> </w:t>
      </w:r>
      <w:r w:rsidRPr="003A16ED">
        <w:rPr>
          <w:szCs w:val="24"/>
        </w:rPr>
        <w:t>(emphasis added).</w:t>
      </w:r>
      <w:r w:rsidRPr="003A16ED">
        <w:rPr>
          <w:i/>
          <w:iCs/>
          <w:szCs w:val="24"/>
        </w:rPr>
        <w:t xml:space="preserve"> Martin</w:t>
      </w:r>
      <w:r w:rsidRPr="003A16ED">
        <w:rPr>
          <w:szCs w:val="24"/>
        </w:rPr>
        <w:t xml:space="preserve"> makes clear that a jury’s ability to evaluate the pain and deprivation that any given person incurs from the loss of their parent is a better solution than arbitrarily terminating the damages at a particular point in time as a matter of law. </w:t>
      </w:r>
      <w:r w:rsidRPr="003A16ED">
        <w:rPr>
          <w:i/>
          <w:iCs/>
          <w:szCs w:val="24"/>
        </w:rPr>
        <w:t>Martin</w:t>
      </w:r>
      <w:r w:rsidRPr="003A16ED">
        <w:rPr>
          <w:szCs w:val="24"/>
        </w:rPr>
        <w:t xml:space="preserve"> </w:t>
      </w:r>
      <w:r w:rsidR="00E5380B">
        <w:rPr>
          <w:szCs w:val="24"/>
        </w:rPr>
        <w:t>c</w:t>
      </w:r>
      <w:r w:rsidRPr="003A16ED">
        <w:rPr>
          <w:szCs w:val="24"/>
        </w:rPr>
        <w:t xml:space="preserve">learly favors allowing </w:t>
      </w:r>
      <w:r w:rsidR="00B07814">
        <w:rPr>
          <w:szCs w:val="24"/>
        </w:rPr>
        <w:t xml:space="preserve">the Tinker </w:t>
      </w:r>
      <w:r w:rsidR="0065165D">
        <w:rPr>
          <w:szCs w:val="24"/>
        </w:rPr>
        <w:t>children’s</w:t>
      </w:r>
      <w:r w:rsidRPr="003A16ED">
        <w:rPr>
          <w:szCs w:val="24"/>
        </w:rPr>
        <w:t xml:space="preserve"> claims to be vetted by the jury and not by a trial court on a motion </w:t>
      </w:r>
      <w:r w:rsidR="00E5380B">
        <w:rPr>
          <w:szCs w:val="24"/>
        </w:rPr>
        <w:t>for partial summary judgment</w:t>
      </w:r>
      <w:r w:rsidRPr="003A16ED">
        <w:rPr>
          <w:szCs w:val="24"/>
        </w:rPr>
        <w:t xml:space="preserve">. Allowing </w:t>
      </w:r>
      <w:r w:rsidR="00B07814">
        <w:rPr>
          <w:szCs w:val="24"/>
        </w:rPr>
        <w:t xml:space="preserve">the Tinker </w:t>
      </w:r>
      <w:r w:rsidR="0065165D">
        <w:rPr>
          <w:szCs w:val="24"/>
        </w:rPr>
        <w:t>children’s</w:t>
      </w:r>
      <w:r w:rsidRPr="003A16ED">
        <w:rPr>
          <w:szCs w:val="24"/>
        </w:rPr>
        <w:t xml:space="preserve"> claims to proceed would be most consistent with </w:t>
      </w:r>
      <w:r w:rsidRPr="003A16ED">
        <w:rPr>
          <w:i/>
          <w:iCs/>
          <w:szCs w:val="24"/>
        </w:rPr>
        <w:t>Giuliani</w:t>
      </w:r>
      <w:r w:rsidRPr="003A16ED">
        <w:rPr>
          <w:szCs w:val="24"/>
        </w:rPr>
        <w:t xml:space="preserve"> and </w:t>
      </w:r>
      <w:r w:rsidRPr="003A16ED">
        <w:rPr>
          <w:i/>
          <w:iCs/>
          <w:szCs w:val="24"/>
        </w:rPr>
        <w:t>Martin</w:t>
      </w:r>
      <w:r w:rsidRPr="003A16ED">
        <w:rPr>
          <w:szCs w:val="24"/>
        </w:rPr>
        <w:t xml:space="preserve">. </w:t>
      </w:r>
    </w:p>
    <w:p w14:paraId="73DE927F" w14:textId="01CDCF5B" w:rsidR="00B76C5F" w:rsidRPr="003A16ED" w:rsidRDefault="00B76C5F" w:rsidP="00B76C5F">
      <w:pPr>
        <w:pStyle w:val="BrfBdy"/>
        <w:rPr>
          <w:szCs w:val="24"/>
        </w:rPr>
      </w:pPr>
      <w:r w:rsidRPr="003A16ED">
        <w:rPr>
          <w:szCs w:val="24"/>
        </w:rPr>
        <w:t xml:space="preserve">For the </w:t>
      </w:r>
      <w:r w:rsidR="009768FE">
        <w:rPr>
          <w:szCs w:val="24"/>
        </w:rPr>
        <w:t>foregoing</w:t>
      </w:r>
      <w:r w:rsidRPr="003A16ED">
        <w:rPr>
          <w:szCs w:val="24"/>
        </w:rPr>
        <w:t xml:space="preserve"> reasons, Plaintiffs respectfully request the Court to deny Defendant</w:t>
      </w:r>
      <w:r w:rsidR="00B07814">
        <w:rPr>
          <w:szCs w:val="24"/>
        </w:rPr>
        <w:t>’</w:t>
      </w:r>
      <w:r w:rsidRPr="003A16ED">
        <w:rPr>
          <w:szCs w:val="24"/>
        </w:rPr>
        <w:t>s Motion</w:t>
      </w:r>
      <w:r w:rsidR="00B07814">
        <w:rPr>
          <w:szCs w:val="24"/>
        </w:rPr>
        <w:t xml:space="preserve"> for Partial Summary Judgment a</w:t>
      </w:r>
      <w:r w:rsidRPr="003A16ED">
        <w:rPr>
          <w:szCs w:val="24"/>
        </w:rPr>
        <w:t xml:space="preserve">nd allow </w:t>
      </w:r>
      <w:r w:rsidR="00B07814">
        <w:rPr>
          <w:szCs w:val="24"/>
        </w:rPr>
        <w:t xml:space="preserve">Denise, Monica, </w:t>
      </w:r>
      <w:r w:rsidR="00B07814">
        <w:rPr>
          <w:szCs w:val="24"/>
        </w:rPr>
        <w:lastRenderedPageBreak/>
        <w:t xml:space="preserve">Cheri, and Brian’s </w:t>
      </w:r>
      <w:r w:rsidRPr="003A16ED">
        <w:rPr>
          <w:szCs w:val="24"/>
        </w:rPr>
        <w:t>parental loss of consortium claims to remain.</w:t>
      </w:r>
    </w:p>
    <w:p w14:paraId="6B664775" w14:textId="77777777" w:rsidR="00C323E7" w:rsidRPr="00BE4DD4" w:rsidRDefault="00C323E7" w:rsidP="00C323E7">
      <w:pPr>
        <w:widowControl w:val="0"/>
        <w:suppressAutoHyphens/>
        <w:spacing w:line="240" w:lineRule="auto"/>
        <w:ind w:left="4320"/>
        <w:jc w:val="left"/>
        <w:rPr>
          <w:lang w:val="en-CA"/>
        </w:rPr>
      </w:pPr>
      <w:r w:rsidRPr="00BE4DD4">
        <w:rPr>
          <w:lang w:val="en-CA"/>
        </w:rPr>
        <w:t>Respectfully submitted,</w:t>
      </w:r>
    </w:p>
    <w:p w14:paraId="4DD03955" w14:textId="77777777" w:rsidR="00C323E7" w:rsidRPr="00BE4DD4" w:rsidRDefault="00C323E7" w:rsidP="00C323E7">
      <w:pPr>
        <w:widowControl w:val="0"/>
        <w:spacing w:line="240" w:lineRule="auto"/>
        <w:ind w:left="5130" w:firstLine="0"/>
        <w:rPr>
          <w:lang w:val="en-CA"/>
        </w:rPr>
      </w:pPr>
    </w:p>
    <w:p w14:paraId="48344606" w14:textId="71B29E90" w:rsidR="00C323E7" w:rsidRPr="00EA6D2E" w:rsidRDefault="00C323E7" w:rsidP="00C323E7">
      <w:pPr>
        <w:widowControl w:val="0"/>
        <w:spacing w:line="240" w:lineRule="auto"/>
        <w:ind w:left="5040" w:firstLine="0"/>
        <w:rPr>
          <w:i/>
          <w:iCs/>
          <w:u w:val="single"/>
          <w:lang w:val="en-CA"/>
        </w:rPr>
      </w:pPr>
      <w:r w:rsidRPr="00EA6D2E">
        <w:rPr>
          <w:i/>
          <w:iCs/>
          <w:u w:val="single"/>
          <w:lang w:val="en-CA"/>
        </w:rPr>
        <w:t>/s/</w:t>
      </w:r>
      <w:r w:rsidR="00AC1371">
        <w:rPr>
          <w:i/>
          <w:iCs/>
          <w:u w:val="single"/>
          <w:lang w:val="en-CA"/>
        </w:rPr>
        <w:t xml:space="preserve"> Sheldon L. Haden</w:t>
      </w:r>
      <w:r>
        <w:rPr>
          <w:i/>
          <w:iCs/>
          <w:u w:val="single"/>
          <w:lang w:val="en-CA"/>
        </w:rPr>
        <w:tab/>
      </w:r>
      <w:r>
        <w:rPr>
          <w:i/>
          <w:iCs/>
          <w:u w:val="single"/>
          <w:lang w:val="en-CA"/>
        </w:rPr>
        <w:tab/>
      </w:r>
    </w:p>
    <w:p w14:paraId="186F2D59" w14:textId="77777777" w:rsidR="00C323E7" w:rsidRPr="00BE4DD4" w:rsidRDefault="00C323E7" w:rsidP="00C323E7">
      <w:pPr>
        <w:widowControl w:val="0"/>
        <w:suppressAutoHyphens/>
        <w:spacing w:line="240" w:lineRule="auto"/>
        <w:ind w:left="5040" w:firstLine="0"/>
        <w:jc w:val="left"/>
        <w:rPr>
          <w:color w:val="000000"/>
        </w:rPr>
      </w:pPr>
      <w:r w:rsidRPr="00BE4DD4">
        <w:rPr>
          <w:lang w:val="en-CA"/>
        </w:rPr>
        <w:fldChar w:fldCharType="begin"/>
      </w:r>
      <w:r w:rsidRPr="00BE4DD4">
        <w:rPr>
          <w:lang w:val="en-CA"/>
        </w:rPr>
        <w:instrText xml:space="preserve"> SEQ CHAPTER \h \r 1</w:instrText>
      </w:r>
      <w:r w:rsidRPr="00BE4DD4">
        <w:rPr>
          <w:lang w:val="en-CA"/>
        </w:rPr>
        <w:fldChar w:fldCharType="end"/>
      </w:r>
      <w:r w:rsidRPr="00BE4DD4">
        <w:rPr>
          <w:color w:val="000000"/>
        </w:rPr>
        <w:t>Ann B. Oldfather (KBA 52553)</w:t>
      </w:r>
    </w:p>
    <w:p w14:paraId="7C2B68A6"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Sheldon L. Haden (KBA 88876)</w:t>
      </w:r>
    </w:p>
    <w:p w14:paraId="285AA6C9" w14:textId="77777777" w:rsidR="00C323E7" w:rsidRPr="00BE4DD4" w:rsidRDefault="00C323E7" w:rsidP="00C323E7">
      <w:pPr>
        <w:widowControl w:val="0"/>
        <w:suppressAutoHyphens/>
        <w:spacing w:line="240" w:lineRule="auto"/>
        <w:ind w:left="5040" w:firstLine="0"/>
        <w:jc w:val="left"/>
        <w:rPr>
          <w:color w:val="000000"/>
        </w:rPr>
      </w:pPr>
      <w:r>
        <w:rPr>
          <w:color w:val="000000"/>
        </w:rPr>
        <w:t>Michael R. Hasken</w:t>
      </w:r>
      <w:r w:rsidRPr="00BE4DD4">
        <w:rPr>
          <w:color w:val="000000"/>
        </w:rPr>
        <w:t xml:space="preserve"> (KBA </w:t>
      </w:r>
      <w:r>
        <w:rPr>
          <w:color w:val="000000"/>
        </w:rPr>
        <w:t>94492</w:t>
      </w:r>
      <w:r w:rsidRPr="00BE4DD4">
        <w:rPr>
          <w:color w:val="000000"/>
        </w:rPr>
        <w:t>)</w:t>
      </w:r>
    </w:p>
    <w:p w14:paraId="38BD37E0"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Chancellor R. Peterson (KBA 101018)</w:t>
      </w:r>
    </w:p>
    <w:p w14:paraId="4E155175" w14:textId="77777777" w:rsidR="00C323E7" w:rsidRPr="00BE4DD4" w:rsidRDefault="00C323E7" w:rsidP="00C323E7">
      <w:pPr>
        <w:widowControl w:val="0"/>
        <w:suppressAutoHyphens/>
        <w:spacing w:line="240" w:lineRule="auto"/>
        <w:ind w:left="5040" w:firstLine="0"/>
        <w:jc w:val="left"/>
        <w:rPr>
          <w:smallCaps/>
          <w:color w:val="000000"/>
        </w:rPr>
      </w:pPr>
      <w:r w:rsidRPr="00BE4DD4">
        <w:rPr>
          <w:smallCaps/>
          <w:color w:val="000000"/>
        </w:rPr>
        <w:t>Oldfather Law Firm</w:t>
      </w:r>
    </w:p>
    <w:p w14:paraId="22E2E17A" w14:textId="77777777" w:rsidR="00C323E7" w:rsidRPr="00BE4DD4" w:rsidRDefault="00C323E7" w:rsidP="00C323E7">
      <w:pPr>
        <w:widowControl w:val="0"/>
        <w:suppressAutoHyphens/>
        <w:spacing w:line="240" w:lineRule="auto"/>
        <w:ind w:left="5040" w:firstLine="0"/>
        <w:jc w:val="left"/>
        <w:rPr>
          <w:color w:val="000000"/>
        </w:rPr>
      </w:pPr>
      <w:r w:rsidRPr="00BE4DD4">
        <w:rPr>
          <w:color w:val="000000"/>
        </w:rPr>
        <w:t>1330 South Third Street</w:t>
      </w:r>
    </w:p>
    <w:p w14:paraId="74F0D557"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Louisville, KY  40208</w:t>
      </w:r>
    </w:p>
    <w:p w14:paraId="56356A82"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(502) 637-7200</w:t>
      </w:r>
    </w:p>
    <w:p w14:paraId="5A43D976"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aoldfather@oldfather.com</w:t>
      </w:r>
      <w:r w:rsidRPr="006A2EC6">
        <w:rPr>
          <w:color w:val="000000"/>
          <w:lang w:val="fr-FR"/>
        </w:rPr>
        <w:br/>
        <w:t>shaden@oldfather.com</w:t>
      </w:r>
    </w:p>
    <w:p w14:paraId="77FA74B5" w14:textId="77777777" w:rsidR="00C323E7" w:rsidRPr="006A2EC6" w:rsidRDefault="00C323E7" w:rsidP="00C323E7">
      <w:pPr>
        <w:widowControl w:val="0"/>
        <w:suppressAutoHyphens/>
        <w:spacing w:line="240" w:lineRule="auto"/>
        <w:ind w:left="5040" w:firstLine="0"/>
        <w:jc w:val="left"/>
        <w:rPr>
          <w:color w:val="000000"/>
          <w:lang w:val="fr-FR"/>
        </w:rPr>
      </w:pPr>
      <w:r w:rsidRPr="006A2EC6">
        <w:rPr>
          <w:color w:val="000000"/>
          <w:lang w:val="fr-FR"/>
        </w:rPr>
        <w:t>mhasken@oldfather.com</w:t>
      </w:r>
      <w:r w:rsidRPr="006A2EC6">
        <w:rPr>
          <w:color w:val="000000"/>
          <w:lang w:val="fr-FR"/>
        </w:rPr>
        <w:br/>
        <w:t>cpeterson@oldfather.com</w:t>
      </w:r>
    </w:p>
    <w:p w14:paraId="5E5C32B9" w14:textId="77777777" w:rsidR="00C323E7" w:rsidRDefault="00C323E7" w:rsidP="00C323E7">
      <w:pPr>
        <w:widowControl w:val="0"/>
        <w:suppressAutoHyphens/>
        <w:spacing w:line="240" w:lineRule="auto"/>
        <w:ind w:left="5040" w:firstLine="0"/>
        <w:jc w:val="left"/>
        <w:rPr>
          <w:i/>
          <w:color w:val="000000"/>
        </w:rPr>
      </w:pPr>
      <w:r w:rsidRPr="00BE4DD4">
        <w:rPr>
          <w:i/>
          <w:color w:val="000000"/>
        </w:rPr>
        <w:t>Counsel for Plaintiff</w:t>
      </w:r>
      <w:r>
        <w:rPr>
          <w:i/>
          <w:color w:val="000000"/>
        </w:rPr>
        <w:t>s</w:t>
      </w:r>
    </w:p>
    <w:p w14:paraId="1212BD80" w14:textId="77777777" w:rsidR="00C323E7" w:rsidRPr="00BE4DD4" w:rsidRDefault="00C323E7" w:rsidP="00C323E7">
      <w:pPr>
        <w:widowControl w:val="0"/>
        <w:suppressAutoHyphens/>
        <w:spacing w:line="240" w:lineRule="auto"/>
        <w:jc w:val="left"/>
        <w:rPr>
          <w:i/>
        </w:rPr>
      </w:pPr>
    </w:p>
    <w:p w14:paraId="73FC8641" w14:textId="77777777" w:rsidR="00C323E7" w:rsidRPr="0083506F" w:rsidRDefault="00C323E7" w:rsidP="00C323E7">
      <w:pPr>
        <w:keepNext/>
        <w:keepLines/>
        <w:spacing w:after="200" w:line="276" w:lineRule="auto"/>
        <w:ind w:firstLine="0"/>
        <w:jc w:val="center"/>
        <w:rPr>
          <w:rFonts w:eastAsiaTheme="minorHAnsi" w:cstheme="minorBidi"/>
          <w:b/>
          <w:bCs/>
          <w:u w:val="single"/>
          <w14:ligatures w14:val="none"/>
        </w:rPr>
      </w:pPr>
      <w:r w:rsidRPr="0083506F">
        <w:rPr>
          <w:rFonts w:eastAsiaTheme="minorHAnsi" w:cstheme="minorBidi"/>
          <w:b/>
          <w:bCs/>
          <w:u w:val="single"/>
          <w14:ligatures w14:val="none"/>
        </w:rPr>
        <w:t>CERTIFICATE OF SERVICE</w:t>
      </w:r>
    </w:p>
    <w:p w14:paraId="39B752A4" w14:textId="3F7A9F72" w:rsidR="00C323E7" w:rsidRPr="0083506F" w:rsidRDefault="00C323E7" w:rsidP="00C323E7">
      <w:pPr>
        <w:keepNext/>
        <w:keepLines/>
        <w:spacing w:line="240" w:lineRule="auto"/>
        <w:jc w:val="left"/>
        <w:rPr>
          <w:rFonts w:eastAsiaTheme="minorHAnsi" w:cstheme="minorBidi"/>
          <w:szCs w:val="22"/>
          <w14:ligatures w14:val="none"/>
        </w:rPr>
      </w:pPr>
      <w:r w:rsidRPr="0083506F">
        <w:rPr>
          <w:rFonts w:eastAsiaTheme="minorHAnsi" w:cstheme="minorBidi"/>
          <w:szCs w:val="22"/>
          <w14:ligatures w14:val="none"/>
        </w:rPr>
        <w:t>The above signature certifies that, on</w:t>
      </w:r>
      <w:r>
        <w:rPr>
          <w:rFonts w:eastAsiaTheme="minorHAnsi" w:cstheme="minorBidi"/>
          <w:szCs w:val="22"/>
          <w14:ligatures w14:val="none"/>
        </w:rPr>
        <w:t xml:space="preserve"> </w:t>
      </w:r>
      <w:r w:rsidR="00B07814">
        <w:rPr>
          <w:rFonts w:eastAsiaTheme="minorHAnsi" w:cstheme="minorBidi"/>
          <w:szCs w:val="22"/>
          <w14:ligatures w14:val="none"/>
        </w:rPr>
        <w:t>June __,</w:t>
      </w:r>
      <w:r w:rsidRPr="0083506F">
        <w:rPr>
          <w:rFonts w:eastAsiaTheme="minorHAnsi" w:cstheme="minorBidi"/>
          <w:szCs w:val="22"/>
          <w14:ligatures w14:val="none"/>
        </w:rPr>
        <w:t xml:space="preserve"> 202</w:t>
      </w:r>
      <w:r w:rsidR="00B07814">
        <w:rPr>
          <w:rFonts w:eastAsiaTheme="minorHAnsi" w:cstheme="minorBidi"/>
          <w:szCs w:val="22"/>
          <w14:ligatures w14:val="none"/>
        </w:rPr>
        <w:t>6</w:t>
      </w:r>
      <w:r w:rsidRPr="0083506F">
        <w:rPr>
          <w:rFonts w:eastAsiaTheme="minorHAnsi" w:cstheme="minorBidi"/>
          <w:szCs w:val="22"/>
          <w14:ligatures w14:val="none"/>
        </w:rPr>
        <w:t>, the foregoing was electronically filed with the Clerk of Court using the KCOJ e-filing system and was served via email</w:t>
      </w:r>
      <w:r w:rsidRPr="0083506F">
        <w:rPr>
          <w:rFonts w:eastAsiaTheme="minorHAnsi" w:cstheme="minorBidi"/>
          <w14:ligatures w14:val="none"/>
        </w:rPr>
        <w:t>, in accordance with the notice of electronic service,</w:t>
      </w:r>
      <w:r w:rsidRPr="0083506F">
        <w:rPr>
          <w:rFonts w:eastAsiaTheme="minorHAnsi" w:cstheme="minorBidi"/>
          <w:szCs w:val="22"/>
          <w14:ligatures w14:val="none"/>
        </w:rPr>
        <w:t xml:space="preserve"> to the following:</w:t>
      </w:r>
    </w:p>
    <w:p w14:paraId="48EA2E20" w14:textId="77777777" w:rsidR="00C323E7" w:rsidRPr="00B55872" w:rsidRDefault="00C323E7" w:rsidP="00C323E7">
      <w:pPr>
        <w:keepNext/>
        <w:keepLines/>
        <w:spacing w:after="240" w:line="240" w:lineRule="auto"/>
        <w:ind w:firstLine="0"/>
        <w:jc w:val="left"/>
        <w:rPr>
          <w:rFonts w:eastAsia="Calibri"/>
          <w:kern w:val="2"/>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490"/>
      </w:tblGrid>
      <w:tr w:rsidR="00C323E7" w:rsidRPr="00B55872" w14:paraId="53B38F7B" w14:textId="77777777" w:rsidTr="008B6DDB">
        <w:tc>
          <w:tcPr>
            <w:tcW w:w="4860" w:type="dxa"/>
          </w:tcPr>
          <w:p w14:paraId="5AF86594" w14:textId="77777777" w:rsidR="00C323E7" w:rsidRDefault="00C323E7" w:rsidP="00147CD8">
            <w:pPr>
              <w:keepNext/>
              <w:keepLines/>
              <w:spacing w:line="240" w:lineRule="auto"/>
              <w:ind w:firstLine="0"/>
              <w:jc w:val="left"/>
              <w:rPr>
                <w:rFonts w:eastAsia="Calibri"/>
              </w:rPr>
            </w:pPr>
            <w:r w:rsidRPr="00B55872">
              <w:rPr>
                <w:rFonts w:eastAsia="Calibri"/>
              </w:rPr>
              <w:t>Craig L. Johnson</w:t>
            </w:r>
          </w:p>
          <w:p w14:paraId="0D4A270E" w14:textId="2D2A2868" w:rsidR="00B06ACD" w:rsidRPr="00B55872" w:rsidRDefault="00B06ACD" w:rsidP="00147CD8">
            <w:pPr>
              <w:keepNext/>
              <w:keepLines/>
              <w:spacing w:line="240" w:lineRule="auto"/>
              <w:ind w:firstLine="0"/>
              <w:jc w:val="left"/>
              <w:rPr>
                <w:rFonts w:eastAsia="Calibri"/>
              </w:rPr>
            </w:pPr>
            <w:r>
              <w:rPr>
                <w:rFonts w:eastAsia="Calibri"/>
              </w:rPr>
              <w:t>Bennett Z. Tuleja</w:t>
            </w:r>
          </w:p>
          <w:p w14:paraId="065DC472" w14:textId="77777777" w:rsidR="00C323E7" w:rsidRPr="00B55872" w:rsidRDefault="00C323E7" w:rsidP="00147CD8">
            <w:pPr>
              <w:keepNext/>
              <w:keepLines/>
              <w:spacing w:line="240" w:lineRule="auto"/>
              <w:ind w:firstLine="0"/>
              <w:jc w:val="left"/>
              <w:rPr>
                <w:rFonts w:eastAsia="Calibri"/>
                <w:smallCaps/>
              </w:rPr>
            </w:pPr>
            <w:r w:rsidRPr="00B55872">
              <w:rPr>
                <w:rFonts w:eastAsia="Calibri"/>
                <w:smallCaps/>
              </w:rPr>
              <w:t>Steptoe &amp; Johnson PLLC</w:t>
            </w:r>
          </w:p>
          <w:p w14:paraId="58CF484C" w14:textId="3216B720" w:rsidR="00C323E7" w:rsidRPr="00B55872" w:rsidRDefault="00F25713" w:rsidP="00147CD8">
            <w:pPr>
              <w:keepNext/>
              <w:keepLines/>
              <w:spacing w:line="240" w:lineRule="auto"/>
              <w:ind w:firstLine="0"/>
              <w:jc w:val="left"/>
              <w:rPr>
                <w:rFonts w:eastAsia="Calibri"/>
              </w:rPr>
            </w:pPr>
            <w:r>
              <w:rPr>
                <w:rFonts w:eastAsia="Calibri"/>
              </w:rPr>
              <w:t>101 South Fifth Street, Suite 3200</w:t>
            </w:r>
          </w:p>
          <w:p w14:paraId="23156EAB" w14:textId="48F43727" w:rsidR="00C323E7" w:rsidRPr="00B55872" w:rsidRDefault="00C323E7" w:rsidP="00147CD8">
            <w:pPr>
              <w:keepNext/>
              <w:keepLines/>
              <w:spacing w:line="240" w:lineRule="auto"/>
              <w:ind w:firstLine="0"/>
              <w:jc w:val="left"/>
              <w:rPr>
                <w:rFonts w:eastAsia="Calibri"/>
              </w:rPr>
            </w:pPr>
            <w:r w:rsidRPr="00B55872">
              <w:rPr>
                <w:rFonts w:eastAsia="Calibri"/>
              </w:rPr>
              <w:t>Louisville, KY 402</w:t>
            </w:r>
            <w:r w:rsidR="00F25713">
              <w:rPr>
                <w:rFonts w:eastAsia="Calibri"/>
              </w:rPr>
              <w:t>02</w:t>
            </w:r>
          </w:p>
          <w:p w14:paraId="08434E8C" w14:textId="77777777" w:rsidR="00C323E7" w:rsidRPr="00B55872" w:rsidRDefault="00C323E7" w:rsidP="00147CD8">
            <w:pPr>
              <w:keepNext/>
              <w:keepLines/>
              <w:spacing w:line="240" w:lineRule="auto"/>
              <w:ind w:firstLine="0"/>
              <w:jc w:val="left"/>
              <w:rPr>
                <w:rFonts w:eastAsia="Calibri"/>
              </w:rPr>
            </w:pPr>
            <w:r w:rsidRPr="00B55872">
              <w:rPr>
                <w:rFonts w:eastAsia="Calibri"/>
              </w:rPr>
              <w:t>(502) 423-2060</w:t>
            </w:r>
          </w:p>
          <w:p w14:paraId="544D97C9" w14:textId="726B60D4" w:rsidR="00C323E7" w:rsidRDefault="00B06ACD" w:rsidP="00147CD8">
            <w:pPr>
              <w:keepNext/>
              <w:keepLines/>
              <w:spacing w:line="240" w:lineRule="auto"/>
              <w:ind w:firstLine="0"/>
              <w:jc w:val="left"/>
              <w:rPr>
                <w:rFonts w:eastAsia="Calibri"/>
              </w:rPr>
            </w:pPr>
            <w:r w:rsidRPr="00B06ACD">
              <w:rPr>
                <w:rFonts w:eastAsia="Calibri"/>
              </w:rPr>
              <w:t>craig.johnson@steptoe-johnson.com</w:t>
            </w:r>
          </w:p>
          <w:p w14:paraId="07998484" w14:textId="77CF5D31" w:rsidR="00B06ACD" w:rsidRPr="00B55872" w:rsidRDefault="00B06ACD" w:rsidP="00147CD8">
            <w:pPr>
              <w:keepNext/>
              <w:keepLines/>
              <w:spacing w:line="240" w:lineRule="auto"/>
              <w:ind w:firstLine="0"/>
              <w:jc w:val="left"/>
              <w:rPr>
                <w:rFonts w:eastAsia="Calibri"/>
              </w:rPr>
            </w:pPr>
            <w:r>
              <w:rPr>
                <w:rFonts w:eastAsia="Calibri"/>
              </w:rPr>
              <w:t>bennett.teluja@steptoe-johnson.com</w:t>
            </w:r>
          </w:p>
          <w:p w14:paraId="3FC4E0F9" w14:textId="77777777" w:rsidR="00C323E7" w:rsidRPr="00B55872" w:rsidRDefault="00C323E7" w:rsidP="00147CD8">
            <w:pPr>
              <w:keepNext/>
              <w:keepLines/>
              <w:spacing w:line="240" w:lineRule="auto"/>
              <w:ind w:firstLine="0"/>
              <w:jc w:val="left"/>
              <w:rPr>
                <w:rFonts w:eastAsia="Calibri"/>
                <w:i/>
                <w:iCs/>
              </w:rPr>
            </w:pPr>
            <w:r w:rsidRPr="00B55872">
              <w:rPr>
                <w:rFonts w:eastAsia="Calibri"/>
                <w:i/>
                <w:iCs/>
              </w:rPr>
              <w:t>Counsel for Defendant, Robert Aria, M.D.</w:t>
            </w:r>
          </w:p>
          <w:p w14:paraId="7EF779F5" w14:textId="77777777" w:rsidR="00C323E7" w:rsidRPr="00B55872" w:rsidRDefault="00C323E7" w:rsidP="00147CD8">
            <w:pPr>
              <w:keepNext/>
              <w:keepLines/>
              <w:spacing w:line="240" w:lineRule="auto"/>
              <w:ind w:firstLine="0"/>
              <w:jc w:val="left"/>
              <w:rPr>
                <w:rFonts w:eastAsia="Calibri"/>
              </w:rPr>
            </w:pPr>
          </w:p>
        </w:tc>
        <w:tc>
          <w:tcPr>
            <w:tcW w:w="4490" w:type="dxa"/>
          </w:tcPr>
          <w:p w14:paraId="770EB379" w14:textId="77777777" w:rsidR="00C323E7" w:rsidRDefault="00C323E7" w:rsidP="00147CD8">
            <w:pPr>
              <w:keepNext/>
              <w:keepLines/>
              <w:spacing w:line="240" w:lineRule="auto"/>
              <w:ind w:firstLine="0"/>
              <w:jc w:val="left"/>
              <w:rPr>
                <w:rFonts w:eastAsia="Calibri"/>
              </w:rPr>
            </w:pPr>
            <w:r w:rsidRPr="00B55872">
              <w:rPr>
                <w:rFonts w:eastAsia="Calibri"/>
              </w:rPr>
              <w:t>Katherine Kerns Vesely</w:t>
            </w:r>
          </w:p>
          <w:p w14:paraId="396AC1B9" w14:textId="222494DD" w:rsidR="000E0B8F" w:rsidRDefault="000E0B8F" w:rsidP="00147CD8">
            <w:pPr>
              <w:keepNext/>
              <w:keepLines/>
              <w:spacing w:line="240" w:lineRule="auto"/>
              <w:ind w:firstLine="0"/>
              <w:jc w:val="left"/>
              <w:rPr>
                <w:rFonts w:eastAsia="Calibri"/>
              </w:rPr>
            </w:pPr>
            <w:r>
              <w:rPr>
                <w:rFonts w:eastAsia="Calibri"/>
              </w:rPr>
              <w:t>Kenneth H. Decker</w:t>
            </w:r>
          </w:p>
          <w:p w14:paraId="750F9642" w14:textId="389DFCAD" w:rsidR="007A3F9D" w:rsidRPr="00B55872" w:rsidRDefault="007A3F9D" w:rsidP="00147CD8">
            <w:pPr>
              <w:keepNext/>
              <w:keepLines/>
              <w:spacing w:line="240" w:lineRule="auto"/>
              <w:ind w:firstLine="0"/>
              <w:jc w:val="left"/>
              <w:rPr>
                <w:rFonts w:eastAsia="Calibri"/>
              </w:rPr>
            </w:pPr>
            <w:r>
              <w:rPr>
                <w:rFonts w:eastAsia="Calibri"/>
              </w:rPr>
              <w:t>Andie Brent Camden</w:t>
            </w:r>
          </w:p>
          <w:p w14:paraId="0A081262" w14:textId="77777777" w:rsidR="00C323E7" w:rsidRPr="00B55872" w:rsidRDefault="00C323E7" w:rsidP="00147CD8">
            <w:pPr>
              <w:keepNext/>
              <w:keepLines/>
              <w:spacing w:line="240" w:lineRule="auto"/>
              <w:ind w:firstLine="0"/>
              <w:jc w:val="left"/>
              <w:rPr>
                <w:rFonts w:eastAsia="Calibri"/>
                <w:smallCaps/>
              </w:rPr>
            </w:pPr>
            <w:r w:rsidRPr="00B55872">
              <w:rPr>
                <w:rFonts w:eastAsia="Calibri"/>
                <w:smallCaps/>
              </w:rPr>
              <w:t>O'Bryan, Brown &amp; Toner, PLLC</w:t>
            </w:r>
          </w:p>
          <w:p w14:paraId="72B602F4" w14:textId="77777777" w:rsidR="00C323E7" w:rsidRPr="00B55872" w:rsidRDefault="00C323E7" w:rsidP="00147CD8">
            <w:pPr>
              <w:keepNext/>
              <w:keepLines/>
              <w:spacing w:line="240" w:lineRule="auto"/>
              <w:ind w:firstLine="0"/>
              <w:jc w:val="left"/>
              <w:rPr>
                <w:rFonts w:eastAsia="Calibri"/>
              </w:rPr>
            </w:pPr>
            <w:r w:rsidRPr="00B55872">
              <w:rPr>
                <w:rFonts w:eastAsia="Calibri"/>
              </w:rPr>
              <w:t>401 South Fourth Street, Suite 2200</w:t>
            </w:r>
          </w:p>
          <w:p w14:paraId="4B9C442D" w14:textId="77777777" w:rsidR="00C323E7" w:rsidRPr="00B55872" w:rsidRDefault="00C323E7" w:rsidP="00147CD8">
            <w:pPr>
              <w:keepNext/>
              <w:keepLines/>
              <w:spacing w:line="240" w:lineRule="auto"/>
              <w:ind w:firstLine="0"/>
              <w:jc w:val="left"/>
              <w:rPr>
                <w:rFonts w:eastAsia="Calibri"/>
              </w:rPr>
            </w:pPr>
            <w:r w:rsidRPr="00B55872">
              <w:rPr>
                <w:rFonts w:eastAsia="Calibri"/>
              </w:rPr>
              <w:t>Louisville, KY  40202</w:t>
            </w:r>
          </w:p>
          <w:p w14:paraId="44F03DCD" w14:textId="77777777" w:rsidR="00C323E7" w:rsidRPr="00B55872" w:rsidRDefault="00C323E7" w:rsidP="00147CD8">
            <w:pPr>
              <w:keepNext/>
              <w:keepLines/>
              <w:spacing w:line="240" w:lineRule="auto"/>
              <w:ind w:firstLine="0"/>
              <w:jc w:val="left"/>
              <w:rPr>
                <w:rFonts w:eastAsia="Calibri"/>
              </w:rPr>
            </w:pPr>
            <w:r w:rsidRPr="00B55872">
              <w:rPr>
                <w:rFonts w:eastAsia="Calibri"/>
              </w:rPr>
              <w:t>(502) 585-4700</w:t>
            </w:r>
          </w:p>
          <w:p w14:paraId="71C0638D" w14:textId="61BA3642" w:rsidR="00C323E7" w:rsidRDefault="000E0B8F" w:rsidP="00147CD8">
            <w:pPr>
              <w:keepNext/>
              <w:keepLines/>
              <w:spacing w:line="240" w:lineRule="auto"/>
              <w:ind w:firstLine="0"/>
              <w:jc w:val="left"/>
              <w:rPr>
                <w:rFonts w:eastAsia="Calibri"/>
              </w:rPr>
            </w:pPr>
            <w:r w:rsidRPr="000E0B8F">
              <w:rPr>
                <w:rFonts w:eastAsia="Calibri"/>
              </w:rPr>
              <w:t>veselyk@obtlaw.com</w:t>
            </w:r>
          </w:p>
          <w:p w14:paraId="68983D4C" w14:textId="4599BC17" w:rsidR="000E0B8F" w:rsidRDefault="000E0B8F" w:rsidP="00147CD8">
            <w:pPr>
              <w:keepNext/>
              <w:keepLines/>
              <w:spacing w:line="240" w:lineRule="auto"/>
              <w:ind w:firstLine="0"/>
              <w:jc w:val="left"/>
              <w:rPr>
                <w:rFonts w:eastAsia="Calibri"/>
              </w:rPr>
            </w:pPr>
            <w:r>
              <w:rPr>
                <w:rFonts w:eastAsia="Calibri"/>
              </w:rPr>
              <w:t>deckerk@obtlaw.com</w:t>
            </w:r>
          </w:p>
          <w:p w14:paraId="5C2B0343" w14:textId="2DA17337" w:rsidR="007A3F9D" w:rsidRPr="00B55872" w:rsidRDefault="007A3F9D" w:rsidP="00147CD8">
            <w:pPr>
              <w:keepNext/>
              <w:keepLines/>
              <w:spacing w:line="240" w:lineRule="auto"/>
              <w:ind w:firstLine="0"/>
              <w:jc w:val="left"/>
              <w:rPr>
                <w:rFonts w:eastAsia="Calibri"/>
              </w:rPr>
            </w:pPr>
            <w:r>
              <w:rPr>
                <w:rFonts w:eastAsia="Calibri"/>
              </w:rPr>
              <w:t>camdena@obtlaw.com</w:t>
            </w:r>
          </w:p>
          <w:p w14:paraId="15818491" w14:textId="265D3061" w:rsidR="007973F2" w:rsidRPr="00B55872" w:rsidRDefault="00C323E7" w:rsidP="00147CD8">
            <w:pPr>
              <w:keepNext/>
              <w:keepLines/>
              <w:spacing w:line="240" w:lineRule="auto"/>
              <w:ind w:firstLine="0"/>
              <w:jc w:val="left"/>
              <w:rPr>
                <w:rFonts w:eastAsia="Calibri"/>
                <w:i/>
                <w:iCs/>
              </w:rPr>
            </w:pPr>
            <w:r w:rsidRPr="00B55872">
              <w:rPr>
                <w:rFonts w:eastAsia="Calibri"/>
                <w:i/>
                <w:iCs/>
              </w:rPr>
              <w:t>Counsel for Defendant, Erica Gettis</w:t>
            </w:r>
            <w:r w:rsidR="00A07B32">
              <w:rPr>
                <w:rFonts w:eastAsia="Calibri"/>
                <w:i/>
                <w:iCs/>
              </w:rPr>
              <w:t>, D.O.</w:t>
            </w:r>
          </w:p>
          <w:p w14:paraId="3C884B0A" w14:textId="77777777" w:rsidR="00C323E7" w:rsidRPr="00B55872" w:rsidRDefault="00C323E7" w:rsidP="00147CD8">
            <w:pPr>
              <w:keepNext/>
              <w:keepLines/>
              <w:spacing w:line="240" w:lineRule="auto"/>
              <w:ind w:firstLine="0"/>
              <w:jc w:val="left"/>
              <w:rPr>
                <w:rFonts w:eastAsia="Calibri"/>
              </w:rPr>
            </w:pPr>
          </w:p>
        </w:tc>
      </w:tr>
      <w:tr w:rsidR="007973F2" w:rsidRPr="00B55872" w14:paraId="1B3C876F" w14:textId="77777777" w:rsidTr="008B6DDB">
        <w:tc>
          <w:tcPr>
            <w:tcW w:w="4860" w:type="dxa"/>
          </w:tcPr>
          <w:p w14:paraId="50745584" w14:textId="77777777" w:rsidR="007973F2" w:rsidRDefault="007973F2"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Eleanor M. B. Davi</w:t>
            </w:r>
            <w:r>
              <w:t>s</w:t>
            </w:r>
          </w:p>
          <w:p w14:paraId="04E86507" w14:textId="3611A124" w:rsidR="00B06ACD" w:rsidRDefault="00F02E9A"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t>Faith O. Turner</w:t>
            </w:r>
          </w:p>
          <w:p w14:paraId="1A019454" w14:textId="77777777" w:rsidR="007973F2" w:rsidRPr="00615A9B" w:rsidRDefault="007973F2"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rPr>
                <w:smallCaps/>
              </w:rPr>
            </w:pPr>
            <w:r w:rsidRPr="00615A9B">
              <w:rPr>
                <w:smallCaps/>
              </w:rPr>
              <w:t>Thompson Miller &amp; Simpson, PLC</w:t>
            </w:r>
          </w:p>
          <w:p w14:paraId="49A41928" w14:textId="77777777" w:rsidR="007973F2" w:rsidRPr="00614020" w:rsidRDefault="007973F2" w:rsidP="00B07814">
            <w:pPr>
              <w:tabs>
                <w:tab w:val="left" w:pos="-1200"/>
                <w:tab w:val="left" w:pos="-720"/>
                <w:tab w:val="left" w:pos="18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734 West Main Street, Suite 400</w:t>
            </w:r>
          </w:p>
          <w:p w14:paraId="3765E7AD" w14:textId="77777777" w:rsidR="007973F2" w:rsidRDefault="007973F2" w:rsidP="00B07814">
            <w:pPr>
              <w:tabs>
                <w:tab w:val="left" w:pos="-1200"/>
                <w:tab w:val="left" w:pos="-720"/>
                <w:tab w:val="left" w:pos="18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t>Louisville, Kentucky 40202</w:t>
            </w:r>
          </w:p>
          <w:p w14:paraId="5B75B103" w14:textId="77777777" w:rsidR="007973F2" w:rsidRPr="00614020" w:rsidRDefault="007973F2" w:rsidP="00B07814">
            <w:pPr>
              <w:tabs>
                <w:tab w:val="left" w:pos="-1200"/>
                <w:tab w:val="left" w:pos="-720"/>
                <w:tab w:val="left" w:pos="18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614020">
              <w:lastRenderedPageBreak/>
              <w:t>(502) 585-9900</w:t>
            </w:r>
          </w:p>
          <w:p w14:paraId="4D149FC6" w14:textId="0A3FA799" w:rsidR="007973F2" w:rsidRDefault="00B06ACD"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rsidRPr="00B06ACD">
              <w:t>edavis@tmslawplc.com</w:t>
            </w:r>
          </w:p>
          <w:p w14:paraId="36A254E9" w14:textId="49FF472A" w:rsidR="00B06ACD" w:rsidRPr="00614020" w:rsidRDefault="00F02E9A" w:rsidP="00B07814">
            <w:pPr>
              <w:tabs>
                <w:tab w:val="left" w:pos="-1200"/>
                <w:tab w:val="left" w:pos="-720"/>
                <w:tab w:val="left" w:pos="180"/>
                <w:tab w:val="left" w:pos="720"/>
                <w:tab w:val="left" w:pos="1440"/>
                <w:tab w:val="left" w:pos="2160"/>
                <w:tab w:val="left" w:pos="2880"/>
                <w:tab w:val="left" w:pos="3600"/>
                <w:tab w:val="left" w:pos="4680"/>
                <w:tab w:val="left" w:pos="5040"/>
                <w:tab w:val="left" w:pos="5760"/>
                <w:tab w:val="left" w:pos="6480"/>
                <w:tab w:val="left" w:pos="7200"/>
                <w:tab w:val="left" w:pos="7920"/>
                <w:tab w:val="left" w:pos="8640"/>
                <w:tab w:val="left" w:pos="9360"/>
              </w:tabs>
              <w:spacing w:line="240" w:lineRule="auto"/>
              <w:ind w:firstLine="0"/>
            </w:pPr>
            <w:r>
              <w:t>fturner</w:t>
            </w:r>
            <w:r w:rsidR="00B06ACD">
              <w:t>@tmslawplc.com</w:t>
            </w:r>
          </w:p>
          <w:p w14:paraId="2B42470C" w14:textId="77777777" w:rsidR="007973F2" w:rsidRPr="00614020" w:rsidRDefault="007973F2" w:rsidP="00B07814">
            <w:pPr>
              <w:tabs>
                <w:tab w:val="left" w:pos="-360"/>
                <w:tab w:val="left" w:pos="180"/>
                <w:tab w:val="right" w:pos="4320"/>
                <w:tab w:val="left" w:pos="4680"/>
              </w:tabs>
              <w:spacing w:line="240" w:lineRule="auto"/>
              <w:ind w:firstLine="0"/>
              <w:rPr>
                <w:i/>
                <w:iCs/>
              </w:rPr>
            </w:pPr>
            <w:r w:rsidRPr="00614020">
              <w:rPr>
                <w:i/>
                <w:iCs/>
              </w:rPr>
              <w:t>Counsel for Defendants</w:t>
            </w:r>
            <w:r>
              <w:rPr>
                <w:i/>
                <w:iCs/>
              </w:rPr>
              <w:t xml:space="preserve">, </w:t>
            </w:r>
          </w:p>
          <w:p w14:paraId="28AC6237" w14:textId="214D9820" w:rsidR="007973F2" w:rsidRDefault="007973F2" w:rsidP="00B07814">
            <w:pPr>
              <w:tabs>
                <w:tab w:val="left" w:pos="-360"/>
                <w:tab w:val="left" w:pos="180"/>
              </w:tabs>
              <w:spacing w:line="240" w:lineRule="auto"/>
              <w:ind w:firstLine="0"/>
              <w:rPr>
                <w:i/>
                <w:iCs/>
              </w:rPr>
            </w:pPr>
            <w:r>
              <w:rPr>
                <w:i/>
                <w:iCs/>
              </w:rPr>
              <w:t>U</w:t>
            </w:r>
            <w:r w:rsidRPr="00614020">
              <w:rPr>
                <w:i/>
                <w:iCs/>
              </w:rPr>
              <w:t>ofL Health–Louisville, Inc.</w:t>
            </w:r>
            <w:r w:rsidR="00B42157">
              <w:rPr>
                <w:i/>
                <w:iCs/>
              </w:rPr>
              <w:t>,</w:t>
            </w:r>
          </w:p>
          <w:p w14:paraId="551558A6" w14:textId="26C96D51" w:rsidR="00B42157" w:rsidRDefault="007973F2" w:rsidP="00B07814">
            <w:pPr>
              <w:tabs>
                <w:tab w:val="left" w:pos="-360"/>
                <w:tab w:val="left" w:pos="180"/>
              </w:tabs>
              <w:spacing w:line="240" w:lineRule="auto"/>
              <w:ind w:firstLine="0"/>
              <w:rPr>
                <w:i/>
                <w:iCs/>
              </w:rPr>
            </w:pPr>
            <w:r w:rsidRPr="00614020">
              <w:rPr>
                <w:i/>
                <w:iCs/>
              </w:rPr>
              <w:t>University of Louisville Physicians,</w:t>
            </w:r>
          </w:p>
          <w:p w14:paraId="78409D10" w14:textId="02CB8761" w:rsidR="007973F2" w:rsidRPr="00614020" w:rsidRDefault="007973F2" w:rsidP="00B07814">
            <w:pPr>
              <w:tabs>
                <w:tab w:val="left" w:pos="-360"/>
                <w:tab w:val="left" w:pos="180"/>
              </w:tabs>
              <w:spacing w:line="240" w:lineRule="auto"/>
              <w:ind w:firstLine="0"/>
              <w:rPr>
                <w:i/>
                <w:iCs/>
              </w:rPr>
            </w:pPr>
            <w:r w:rsidRPr="00614020">
              <w:rPr>
                <w:i/>
                <w:iCs/>
              </w:rPr>
              <w:t>Inc.</w:t>
            </w:r>
            <w:r w:rsidR="00B42157">
              <w:rPr>
                <w:i/>
                <w:iCs/>
              </w:rPr>
              <w:t>, and UofL Health, Inc.</w:t>
            </w:r>
          </w:p>
          <w:p w14:paraId="24B60726" w14:textId="77777777" w:rsidR="007973F2" w:rsidRPr="00B55872" w:rsidRDefault="007973F2" w:rsidP="00B07814">
            <w:pPr>
              <w:keepNext/>
              <w:keepLines/>
              <w:spacing w:line="240" w:lineRule="auto"/>
              <w:ind w:firstLine="0"/>
              <w:jc w:val="left"/>
              <w:rPr>
                <w:rFonts w:eastAsia="Calibri"/>
              </w:rPr>
            </w:pPr>
          </w:p>
        </w:tc>
        <w:tc>
          <w:tcPr>
            <w:tcW w:w="4490" w:type="dxa"/>
          </w:tcPr>
          <w:p w14:paraId="763CF2D3" w14:textId="3A6C70DF" w:rsidR="007973F2" w:rsidRPr="007973F2" w:rsidRDefault="007973F2" w:rsidP="00147CD8">
            <w:pPr>
              <w:keepNext/>
              <w:keepLines/>
              <w:spacing w:line="240" w:lineRule="auto"/>
              <w:ind w:firstLine="0"/>
              <w:jc w:val="left"/>
              <w:rPr>
                <w:rFonts w:eastAsia="Calibri"/>
                <w:i/>
                <w:iCs/>
              </w:rPr>
            </w:pPr>
          </w:p>
        </w:tc>
      </w:tr>
    </w:tbl>
    <w:p w14:paraId="2A943B26" w14:textId="77777777" w:rsidR="00C323E7" w:rsidRDefault="00C323E7" w:rsidP="00C323E7">
      <w:pPr>
        <w:spacing w:after="160" w:line="259" w:lineRule="auto"/>
        <w:ind w:firstLine="0"/>
        <w:jc w:val="left"/>
        <w:rPr>
          <w:rFonts w:eastAsiaTheme="minorHAnsi" w:cstheme="minorBidi"/>
          <w:szCs w:val="22"/>
          <w14:ligatures w14:val="none"/>
        </w:rPr>
      </w:pPr>
    </w:p>
    <w:p w14:paraId="299CD4E4" w14:textId="77777777" w:rsidR="00725147" w:rsidRDefault="00725147"/>
    <w:sectPr w:rsidR="00725147" w:rsidSect="00C323E7">
      <w:footerReference w:type="even" r:id="rId10"/>
      <w:footerReference w:type="default" r:id="rId11"/>
      <w:foot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2C639" w14:textId="77777777" w:rsidR="00EC4AFA" w:rsidRDefault="00EC4AFA">
      <w:pPr>
        <w:spacing w:line="240" w:lineRule="auto"/>
      </w:pPr>
      <w:r>
        <w:separator/>
      </w:r>
    </w:p>
  </w:endnote>
  <w:endnote w:type="continuationSeparator" w:id="0">
    <w:p w14:paraId="1A47618B" w14:textId="77777777" w:rsidR="00EC4AFA" w:rsidRDefault="00EC4A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DF600" w14:textId="77777777" w:rsidR="007359E2" w:rsidRDefault="007359E2">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13C325A2" w14:textId="77777777" w:rsidR="007359E2" w:rsidRDefault="007359E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3018941"/>
      <w:docPartObj>
        <w:docPartGallery w:val="Page Numbers (Bottom of Page)"/>
        <w:docPartUnique/>
      </w:docPartObj>
    </w:sdtPr>
    <w:sdtEndPr>
      <w:rPr>
        <w:rFonts w:ascii="Century Schoolbook" w:hAnsi="Century Schoolbook"/>
        <w:noProof/>
        <w:sz w:val="24"/>
        <w:szCs w:val="32"/>
      </w:rPr>
    </w:sdtEndPr>
    <w:sdtContent>
      <w:p w14:paraId="29E79C41" w14:textId="77777777" w:rsidR="007359E2" w:rsidRPr="003E1E72" w:rsidRDefault="007359E2" w:rsidP="003E1E72">
        <w:pPr>
          <w:pStyle w:val="Footer"/>
          <w:ind w:firstLine="0"/>
          <w:jc w:val="center"/>
          <w:rPr>
            <w:rFonts w:ascii="Century Schoolbook" w:hAnsi="Century Schoolbook"/>
            <w:sz w:val="24"/>
            <w:szCs w:val="32"/>
          </w:rPr>
        </w:pPr>
        <w:r w:rsidRPr="003E1E72">
          <w:rPr>
            <w:rFonts w:ascii="Century Schoolbook" w:hAnsi="Century Schoolbook"/>
            <w:sz w:val="24"/>
            <w:szCs w:val="32"/>
          </w:rPr>
          <w:fldChar w:fldCharType="begin"/>
        </w:r>
        <w:r w:rsidRPr="003E1E72">
          <w:rPr>
            <w:rFonts w:ascii="Century Schoolbook" w:hAnsi="Century Schoolbook"/>
            <w:sz w:val="24"/>
            <w:szCs w:val="32"/>
          </w:rPr>
          <w:instrText xml:space="preserve"> PAGE   \* MERGEFORMAT </w:instrText>
        </w:r>
        <w:r w:rsidRPr="003E1E72">
          <w:rPr>
            <w:rFonts w:ascii="Century Schoolbook" w:hAnsi="Century Schoolbook"/>
            <w:sz w:val="24"/>
            <w:szCs w:val="32"/>
          </w:rPr>
          <w:fldChar w:fldCharType="separate"/>
        </w:r>
        <w:r w:rsidRPr="003E1E72">
          <w:rPr>
            <w:rFonts w:ascii="Century Schoolbook" w:hAnsi="Century Schoolbook"/>
            <w:noProof/>
            <w:sz w:val="24"/>
            <w:szCs w:val="32"/>
          </w:rPr>
          <w:t>2</w:t>
        </w:r>
        <w:r w:rsidRPr="003E1E72">
          <w:rPr>
            <w:rFonts w:ascii="Century Schoolbook" w:hAnsi="Century Schoolbook"/>
            <w:noProof/>
            <w:sz w:val="24"/>
            <w:szCs w:val="32"/>
          </w:rPr>
          <w:fldChar w:fldCharType="end"/>
        </w:r>
      </w:p>
    </w:sdtContent>
  </w:sdt>
  <w:p w14:paraId="35622987" w14:textId="77777777" w:rsidR="007359E2" w:rsidRDefault="007359E2" w:rsidP="003E1E72">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908C8" w14:textId="259320CB" w:rsidR="007359E2" w:rsidRDefault="007359E2">
    <w:pPr>
      <w:pStyle w:val="Footer"/>
    </w:pPr>
    <w:r>
      <w:fldChar w:fldCharType="begin"/>
    </w:r>
    <w:r>
      <w:instrText xml:space="preserve"> IF </w:instrText>
    </w:r>
    <w:fldSimple w:instr=" NUMPAGES ">
      <w:r w:rsidR="00D72367">
        <w:rPr>
          <w:noProof/>
        </w:rPr>
        <w:instrText>12</w:instrText>
      </w:r>
    </w:fldSimple>
    <w:r>
      <w:instrText xml:space="preserve"> = </w:instrText>
    </w:r>
    <w:r>
      <w:fldChar w:fldCharType="begin"/>
    </w:r>
    <w:r>
      <w:instrText xml:space="preserve"> PAGE </w:instrText>
    </w:r>
    <w:r>
      <w:fldChar w:fldCharType="separate"/>
    </w:r>
    <w:r w:rsidR="00D72367">
      <w:rPr>
        <w:noProof/>
      </w:rPr>
      <w:instrText>1</w:instrText>
    </w:r>
    <w:r>
      <w:fldChar w:fldCharType="end"/>
    </w:r>
    <w:r>
      <w:instrText xml:space="preserve"> "</w:instrText>
    </w:r>
    <w:fldSimple w:instr=" FILENAME \p \* Lower ">
      <w:r>
        <w:rPr>
          <w:noProof/>
        </w:rPr>
        <w:instrText>document37</w:instrText>
      </w:r>
    </w:fldSimple>
    <w:r>
      <w:instrText xml:space="preserve">" "" \* MERGEFORMAT </w:instrTex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BA6BC" w14:textId="77777777" w:rsidR="00EC4AFA" w:rsidRDefault="00EC4AFA">
      <w:pPr>
        <w:spacing w:line="240" w:lineRule="auto"/>
      </w:pPr>
      <w:r>
        <w:separator/>
      </w:r>
    </w:p>
  </w:footnote>
  <w:footnote w:type="continuationSeparator" w:id="0">
    <w:p w14:paraId="1B6432DB" w14:textId="77777777" w:rsidR="00EC4AFA" w:rsidRDefault="00EC4AFA">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901" w:allStyles="1" w:customStyles="0" w:latentStyles="0" w:stylesInUse="0" w:headingStyles="0" w:numberingStyles="0" w:tableStyles="0" w:directFormattingOnRuns="1" w:directFormattingOnParagraphs="0" w:directFormattingOnNumbering="0"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3E7"/>
    <w:rsid w:val="00012CF5"/>
    <w:rsid w:val="00025D67"/>
    <w:rsid w:val="000647BA"/>
    <w:rsid w:val="00074ACD"/>
    <w:rsid w:val="000C75A0"/>
    <w:rsid w:val="000D0E06"/>
    <w:rsid w:val="000E0B8F"/>
    <w:rsid w:val="000E5DCB"/>
    <w:rsid w:val="00123081"/>
    <w:rsid w:val="001C07B2"/>
    <w:rsid w:val="001E6C94"/>
    <w:rsid w:val="001E769B"/>
    <w:rsid w:val="0020282E"/>
    <w:rsid w:val="00211B8A"/>
    <w:rsid w:val="0028303A"/>
    <w:rsid w:val="00294960"/>
    <w:rsid w:val="002B343A"/>
    <w:rsid w:val="002C005F"/>
    <w:rsid w:val="002F2A07"/>
    <w:rsid w:val="00364CC6"/>
    <w:rsid w:val="003B6C86"/>
    <w:rsid w:val="00485DF2"/>
    <w:rsid w:val="004C33E5"/>
    <w:rsid w:val="004D7549"/>
    <w:rsid w:val="005143CF"/>
    <w:rsid w:val="00534A67"/>
    <w:rsid w:val="0054331A"/>
    <w:rsid w:val="00544C40"/>
    <w:rsid w:val="00580D01"/>
    <w:rsid w:val="00615A9B"/>
    <w:rsid w:val="00643081"/>
    <w:rsid w:val="0065165D"/>
    <w:rsid w:val="00686994"/>
    <w:rsid w:val="006A2EC6"/>
    <w:rsid w:val="006B2C65"/>
    <w:rsid w:val="006C3791"/>
    <w:rsid w:val="006C673A"/>
    <w:rsid w:val="006D354E"/>
    <w:rsid w:val="006E45CC"/>
    <w:rsid w:val="00725147"/>
    <w:rsid w:val="007359E2"/>
    <w:rsid w:val="007973F2"/>
    <w:rsid w:val="007A3F9D"/>
    <w:rsid w:val="007D31B6"/>
    <w:rsid w:val="007F1F08"/>
    <w:rsid w:val="00801322"/>
    <w:rsid w:val="008876BB"/>
    <w:rsid w:val="008B6DDB"/>
    <w:rsid w:val="008C6B51"/>
    <w:rsid w:val="00905D5D"/>
    <w:rsid w:val="009768FE"/>
    <w:rsid w:val="009C6BB3"/>
    <w:rsid w:val="009E0BC6"/>
    <w:rsid w:val="00A07B32"/>
    <w:rsid w:val="00AB06DB"/>
    <w:rsid w:val="00AC1371"/>
    <w:rsid w:val="00AC1901"/>
    <w:rsid w:val="00B06ACD"/>
    <w:rsid w:val="00B07814"/>
    <w:rsid w:val="00B42157"/>
    <w:rsid w:val="00B76C5F"/>
    <w:rsid w:val="00B77A98"/>
    <w:rsid w:val="00B81437"/>
    <w:rsid w:val="00BB1A03"/>
    <w:rsid w:val="00C323E7"/>
    <w:rsid w:val="00C402D7"/>
    <w:rsid w:val="00C47EE8"/>
    <w:rsid w:val="00C95DAB"/>
    <w:rsid w:val="00CA61EF"/>
    <w:rsid w:val="00CD3491"/>
    <w:rsid w:val="00D47EA4"/>
    <w:rsid w:val="00D72367"/>
    <w:rsid w:val="00DC3D6A"/>
    <w:rsid w:val="00E20FE9"/>
    <w:rsid w:val="00E21C5E"/>
    <w:rsid w:val="00E5380B"/>
    <w:rsid w:val="00EC335B"/>
    <w:rsid w:val="00EC4AFA"/>
    <w:rsid w:val="00F02E9A"/>
    <w:rsid w:val="00F25713"/>
    <w:rsid w:val="00F529E9"/>
    <w:rsid w:val="00F92D5E"/>
    <w:rsid w:val="00FC74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00D58"/>
  <w15:chartTrackingRefBased/>
  <w15:docId w15:val="{BE958755-5546-431A-92CF-539CFF4F5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ldg"/>
    <w:qFormat/>
    <w:rsid w:val="00C323E7"/>
    <w:pPr>
      <w:spacing w:line="480" w:lineRule="auto"/>
      <w:ind w:firstLine="720"/>
      <w:jc w:val="both"/>
    </w:pPr>
    <w:rPr>
      <w:rFonts w:ascii="Century Schoolbook" w:eastAsia="Times New Roman" w:hAnsi="Century Schoolbook"/>
      <w:kern w:val="0"/>
      <w:sz w:val="24"/>
      <w:szCs w:val="24"/>
    </w:rPr>
  </w:style>
  <w:style w:type="paragraph" w:styleId="Heading1">
    <w:name w:val="heading 1"/>
    <w:basedOn w:val="Normal"/>
    <w:next w:val="Normal"/>
    <w:link w:val="Heading1Char"/>
    <w:uiPriority w:val="9"/>
    <w:qFormat/>
    <w:rsid w:val="00C323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3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3E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3E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323E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323E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323E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323E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323E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C95DAB"/>
    <w:pPr>
      <w:framePr w:w="7920" w:h="1980" w:hRule="exact" w:hSpace="180" w:wrap="auto" w:hAnchor="page" w:xAlign="center" w:yAlign="bottom"/>
      <w:ind w:left="2880"/>
    </w:pPr>
    <w:rPr>
      <w:rFonts w:eastAsiaTheme="majorEastAsia" w:cstheme="majorBidi"/>
    </w:rPr>
  </w:style>
  <w:style w:type="character" w:customStyle="1" w:styleId="Heading1Char">
    <w:name w:val="Heading 1 Char"/>
    <w:basedOn w:val="DefaultParagraphFont"/>
    <w:link w:val="Heading1"/>
    <w:uiPriority w:val="9"/>
    <w:rsid w:val="00C323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23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3E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3E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323E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323E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323E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323E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323E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323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3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3E7"/>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3E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323E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323E7"/>
    <w:rPr>
      <w:i/>
      <w:iCs/>
      <w:color w:val="404040" w:themeColor="text1" w:themeTint="BF"/>
    </w:rPr>
  </w:style>
  <w:style w:type="paragraph" w:styleId="ListParagraph">
    <w:name w:val="List Paragraph"/>
    <w:basedOn w:val="Normal"/>
    <w:uiPriority w:val="34"/>
    <w:qFormat/>
    <w:rsid w:val="00C323E7"/>
    <w:pPr>
      <w:ind w:left="720"/>
      <w:contextualSpacing/>
    </w:pPr>
  </w:style>
  <w:style w:type="character" w:styleId="IntenseEmphasis">
    <w:name w:val="Intense Emphasis"/>
    <w:basedOn w:val="DefaultParagraphFont"/>
    <w:uiPriority w:val="21"/>
    <w:qFormat/>
    <w:rsid w:val="00C323E7"/>
    <w:rPr>
      <w:i/>
      <w:iCs/>
      <w:color w:val="2F5496" w:themeColor="accent1" w:themeShade="BF"/>
    </w:rPr>
  </w:style>
  <w:style w:type="paragraph" w:styleId="IntenseQuote">
    <w:name w:val="Intense Quote"/>
    <w:basedOn w:val="Normal"/>
    <w:next w:val="Normal"/>
    <w:link w:val="IntenseQuoteChar"/>
    <w:uiPriority w:val="30"/>
    <w:qFormat/>
    <w:rsid w:val="00C323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3E7"/>
    <w:rPr>
      <w:i/>
      <w:iCs/>
      <w:color w:val="2F5496" w:themeColor="accent1" w:themeShade="BF"/>
    </w:rPr>
  </w:style>
  <w:style w:type="character" w:styleId="IntenseReference">
    <w:name w:val="Intense Reference"/>
    <w:basedOn w:val="DefaultParagraphFont"/>
    <w:uiPriority w:val="32"/>
    <w:qFormat/>
    <w:rsid w:val="00C323E7"/>
    <w:rPr>
      <w:b/>
      <w:bCs/>
      <w:smallCaps/>
      <w:color w:val="2F5496" w:themeColor="accent1" w:themeShade="BF"/>
      <w:spacing w:val="5"/>
    </w:rPr>
  </w:style>
  <w:style w:type="paragraph" w:styleId="Footer">
    <w:name w:val="footer"/>
    <w:link w:val="FooterChar"/>
    <w:uiPriority w:val="99"/>
    <w:rsid w:val="00C323E7"/>
    <w:pPr>
      <w:tabs>
        <w:tab w:val="center" w:pos="4320"/>
        <w:tab w:val="right" w:pos="8640"/>
      </w:tabs>
      <w:spacing w:line="480" w:lineRule="auto"/>
      <w:ind w:firstLine="720"/>
      <w:jc w:val="both"/>
    </w:pPr>
    <w:rPr>
      <w:rFonts w:eastAsia="Times New Roman"/>
      <w:kern w:val="0"/>
      <w:sz w:val="16"/>
    </w:rPr>
  </w:style>
  <w:style w:type="character" w:customStyle="1" w:styleId="FooterChar">
    <w:name w:val="Footer Char"/>
    <w:basedOn w:val="DefaultParagraphFont"/>
    <w:link w:val="Footer"/>
    <w:uiPriority w:val="99"/>
    <w:rsid w:val="00C323E7"/>
    <w:rPr>
      <w:rFonts w:eastAsia="Times New Roman"/>
      <w:kern w:val="0"/>
      <w:sz w:val="16"/>
    </w:rPr>
  </w:style>
  <w:style w:type="character" w:styleId="PageNumber">
    <w:name w:val="page number"/>
    <w:basedOn w:val="DefaultParagraphFont"/>
    <w:rsid w:val="00C323E7"/>
    <w:rPr>
      <w:sz w:val="24"/>
    </w:rPr>
  </w:style>
  <w:style w:type="table" w:customStyle="1" w:styleId="TableGrid1">
    <w:name w:val="Table Grid1"/>
    <w:basedOn w:val="TableNormal"/>
    <w:next w:val="TableGrid"/>
    <w:uiPriority w:val="39"/>
    <w:rsid w:val="00C323E7"/>
    <w:rPr>
      <w:rFonts w:ascii="Century Schoolbook" w:eastAsia="Calibri" w:hAnsi="Century Schoolbook"/>
      <w:kern w:val="0"/>
      <w:sz w:val="24"/>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C323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E0B8F"/>
    <w:rPr>
      <w:color w:val="0563C1" w:themeColor="hyperlink"/>
      <w:u w:val="single"/>
    </w:rPr>
  </w:style>
  <w:style w:type="character" w:styleId="UnresolvedMention">
    <w:name w:val="Unresolved Mention"/>
    <w:basedOn w:val="DefaultParagraphFont"/>
    <w:uiPriority w:val="99"/>
    <w:semiHidden/>
    <w:unhideWhenUsed/>
    <w:rsid w:val="000E0B8F"/>
    <w:rPr>
      <w:color w:val="605E5C"/>
      <w:shd w:val="clear" w:color="auto" w:fill="E1DFDD"/>
    </w:rPr>
  </w:style>
  <w:style w:type="character" w:styleId="FootnoteReference">
    <w:name w:val="footnote reference"/>
    <w:basedOn w:val="DefaultParagraphFont"/>
    <w:uiPriority w:val="99"/>
    <w:semiHidden/>
    <w:unhideWhenUsed/>
    <w:rsid w:val="00B76C5F"/>
    <w:rPr>
      <w:vertAlign w:val="superscript"/>
    </w:rPr>
  </w:style>
  <w:style w:type="paragraph" w:customStyle="1" w:styleId="Ftnbdy">
    <w:name w:val="Ftn bdy"/>
    <w:basedOn w:val="FootnoteText"/>
    <w:qFormat/>
    <w:rsid w:val="00B76C5F"/>
    <w:pPr>
      <w:keepNext/>
      <w:keepLines/>
      <w:widowControl w:val="0"/>
      <w:tabs>
        <w:tab w:val="left" w:pos="446"/>
        <w:tab w:val="left" w:pos="540"/>
      </w:tabs>
      <w:spacing w:after="120"/>
      <w:ind w:firstLine="0"/>
      <w:jc w:val="left"/>
    </w:pPr>
    <w:rPr>
      <w:rFonts w:eastAsiaTheme="minorHAnsi" w:cstheme="minorBidi"/>
      <w:sz w:val="24"/>
      <w:szCs w:val="24"/>
      <w14:ligatures w14:val="none"/>
    </w:rPr>
  </w:style>
  <w:style w:type="paragraph" w:customStyle="1" w:styleId="BrfBdy">
    <w:name w:val="Brf Bdy"/>
    <w:qFormat/>
    <w:rsid w:val="00B76C5F"/>
    <w:pPr>
      <w:widowControl w:val="0"/>
      <w:spacing w:line="480" w:lineRule="auto"/>
      <w:ind w:firstLine="720"/>
    </w:pPr>
    <w:rPr>
      <w:rFonts w:ascii="Century Schoolbook" w:hAnsi="Century Schoolbook" w:cstheme="minorBidi"/>
      <w:kern w:val="0"/>
      <w:sz w:val="24"/>
      <w:szCs w:val="22"/>
      <w14:ligatures w14:val="none"/>
    </w:rPr>
  </w:style>
  <w:style w:type="paragraph" w:customStyle="1" w:styleId="CaseQuote">
    <w:name w:val="Case Quote"/>
    <w:basedOn w:val="Normal"/>
    <w:qFormat/>
    <w:rsid w:val="00B76C5F"/>
    <w:pPr>
      <w:widowControl w:val="0"/>
      <w:tabs>
        <w:tab w:val="left" w:pos="720"/>
      </w:tabs>
      <w:spacing w:after="120" w:line="240" w:lineRule="auto"/>
      <w:ind w:left="720" w:firstLine="0"/>
      <w:jc w:val="left"/>
    </w:pPr>
    <w:rPr>
      <w:rFonts w:ascii="Bookman Old Style" w:eastAsiaTheme="minorHAnsi" w:hAnsi="Bookman Old Style" w:cstheme="minorBidi"/>
      <w:szCs w:val="22"/>
      <w14:ligatures w14:val="none"/>
    </w:rPr>
  </w:style>
  <w:style w:type="paragraph" w:styleId="FootnoteText">
    <w:name w:val="footnote text"/>
    <w:basedOn w:val="Normal"/>
    <w:link w:val="FootnoteTextChar"/>
    <w:uiPriority w:val="99"/>
    <w:semiHidden/>
    <w:unhideWhenUsed/>
    <w:rsid w:val="00B76C5F"/>
    <w:pPr>
      <w:spacing w:line="240" w:lineRule="auto"/>
    </w:pPr>
    <w:rPr>
      <w:sz w:val="20"/>
      <w:szCs w:val="20"/>
    </w:rPr>
  </w:style>
  <w:style w:type="character" w:customStyle="1" w:styleId="FootnoteTextChar">
    <w:name w:val="Footnote Text Char"/>
    <w:basedOn w:val="DefaultParagraphFont"/>
    <w:link w:val="FootnoteText"/>
    <w:uiPriority w:val="99"/>
    <w:semiHidden/>
    <w:rsid w:val="00B76C5F"/>
    <w:rPr>
      <w:rFonts w:ascii="Century Schoolbook" w:eastAsia="Times New Roman" w:hAnsi="Century Schoolbook"/>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cid:1A939B53-5D43-4D16-9281-F97CCE315254" TargetMode="Externa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290</TotalTime>
  <Pages>12</Pages>
  <Words>2533</Words>
  <Characters>12164</Characters>
  <Application>Microsoft Office Word</Application>
  <DocSecurity>0</DocSecurity>
  <Lines>311</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Peterson</dc:creator>
  <cp:keywords/>
  <dc:description/>
  <cp:lastModifiedBy>Sheldon L. Haden</cp:lastModifiedBy>
  <cp:revision>16</cp:revision>
  <dcterms:created xsi:type="dcterms:W3CDTF">2026-05-31T18:00:00Z</dcterms:created>
  <dcterms:modified xsi:type="dcterms:W3CDTF">2026-06-03T20:39:00Z</dcterms:modified>
</cp:coreProperties>
</file>