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CR 30.02(6) Notice is directed at how that failure happened inside UofL Defendants’ electronic health record systems. The Notice asks UofL Defendants to designate witnesses on three categories of issues. First, the Notice asks how PET scan reports travel through UofL Defendants’ PACS, In-Basket, “acknowledgment,” and MyChart systems. Second, it asks how the audit data UofL Defendants have produced should be interpreted, and what that data does and does not show. Third, it asks UofL Defendants to identify the factual support for certain contentions UofL Defendants have placed at issue in this case. The companion CR 34 request asks UofL Defendants’ designees to demonstrate the answers by screen-sharing Timmi’s live chart on Zoom. That is the same way UofL Defendants’ providers and staff view the chart every day.</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 In the alternative, should the Court limit the inspection, Plaintiffs respectfully ask that UofL Defendants be precluded from using the audit trail offensively to argue that Timmi knew about her cancer.</w:t>
      </w:r>
    </w:p>
    <w:p>
      <w:pPr>
        <w:pStyle w:val="BrfBdy"/>
      </w:pPr>
      <w:r>
        <w:t>One last point at the outset. UofL Defendants invoke meet-and-confer principles throughout their brief. Yet they filed this Motion only six days after Plaintiffs served the Notice, without a single telephone call, email, or letter raising specific objections. The Notice itself invited dialogue on both scheduling and substance, in two separate footnotes. Plaintiffs’ counsel remain prepared to discuss reasonable adjustments. The appropriate resolution here is for the parties to confer and proceed with the deposition and inspection on a workable schedule, not for the Court to enter a protective order shutting down what is plainly proper discovery.</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BrfBdy"/>
      </w:pPr>
      <w:r>
        <w:rPr>
          <w:i/>
        </w:rPr>
        <w:t xml:space="preserve">No meet and confer occurred. </w:t>
      </w:r>
      <w:r>
        <w:t>The Notice itself invited dialogue. The first footnote stated: “If the date selected does not work for witness or counsel, please contact the undersigned, and we will adjust to a date within the court-ordered due dates.” The second footnote stated: “Counsel are prepared to discuss and attempt to resolve any disagreement as to scope or content of the Topics; please contact the undersigned as soon as convenient should that be necessary.” Plaintiffs’ counsel separately reached out to defense counsel after serving the Notice to discuss reasonable adjustments. UofL Defendants nevertheless filed this Motion six days after the Notice was served, without ever raising specific objections.</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913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corporate defendant to identify the factual basis for its own contentions is permissible and routine. It is, in fact, one of the central purposes of CR 30.02(6).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Finally, UofL Defendants object to the so-called “catchall” language in the Notice, which states that the deposition “may cover any topics within the general knowledge of the designee(s).” This language is unremarkable. It appears in countless 30.02(6) notices in this jurisdiction. It does not convert the deposition into limitless discovery. It simply reflects the practical reality that depositions occasionally touch on related matters that arise during testimony. UofL Defendants are protected from genuine overreach by the existing rules. The catchall language alone is not a basis for a protective order.</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Plaintiffs’ request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rPr>
          <w:i/>
        </w:rPr>
        <w:t>In re Ford Motor Co.</w:t>
      </w:r>
      <w:r>
        <w:t xml:space="preserve"> addressed a request to “conduct the actual search” of an opposing party’s files. 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It is difficult to imagine what “targeted written discovery,” as UofL Defendants suggest, could substitute for the simple act of watching the system work.</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and order the parties to confer in good faith and proceed with the CR 30.02(6) deposition and CR 34 inspection on a mutually convenient date. In the alternative, should the Court grant any portion of the Motion limiting the live inspection or the related audit-trail discovery, Plaintiffs request that the Court enter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